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1FEC" w:rsidRPr="00485E4E" w:rsidRDefault="00485E4E" w:rsidP="006B1FEC">
      <w:pPr>
        <w:spacing w:line="360" w:lineRule="auto"/>
        <w:jc w:val="center"/>
        <w:rPr>
          <w:rFonts w:ascii="Times New Roman" w:hAnsi="Times New Roman" w:cs="Times New Roman"/>
          <w:b/>
        </w:rPr>
      </w:pPr>
      <w:r>
        <w:rPr>
          <w:rFonts w:ascii="Times New Roman" w:hAnsi="Times New Roman" w:cs="Times New Roman"/>
          <w:b/>
          <w:sz w:val="32"/>
          <w:szCs w:val="32"/>
        </w:rPr>
        <w:t>TALLER:</w:t>
      </w:r>
      <w:r w:rsidR="006B1FEC" w:rsidRPr="00485E4E">
        <w:rPr>
          <w:rFonts w:ascii="Times New Roman" w:hAnsi="Times New Roman" w:cs="Times New Roman"/>
          <w:b/>
          <w:sz w:val="32"/>
          <w:szCs w:val="32"/>
        </w:rPr>
        <w:t xml:space="preserve"> CONDENADOS</w:t>
      </w:r>
      <w:r w:rsidR="006B1FEC" w:rsidRPr="00485E4E">
        <w:rPr>
          <w:rFonts w:ascii="Times New Roman" w:hAnsi="Times New Roman" w:cs="Times New Roman"/>
          <w:b/>
        </w:rPr>
        <w:t xml:space="preserve"> A </w:t>
      </w:r>
      <w:smartTag w:uri="urn:schemas-microsoft-com:office:smarttags" w:element="PersonName">
        <w:smartTagPr>
          <w:attr w:name="ProductID" w:val="LA EXCLUSIￓN. CUERPO"/>
        </w:smartTagPr>
        <w:smartTag w:uri="urn:schemas-microsoft-com:office:smarttags" w:element="PersonName">
          <w:smartTagPr>
            <w:attr w:name="ProductID" w:val="LA EXCLUSIￓN."/>
          </w:smartTagPr>
          <w:r w:rsidR="006B1FEC" w:rsidRPr="00485E4E">
            <w:rPr>
              <w:rFonts w:ascii="Times New Roman" w:hAnsi="Times New Roman" w:cs="Times New Roman"/>
              <w:b/>
            </w:rPr>
            <w:t>LA EXCLUSIÓN.</w:t>
          </w:r>
        </w:smartTag>
        <w:r w:rsidR="006B1FEC" w:rsidRPr="00485E4E">
          <w:rPr>
            <w:rFonts w:ascii="Times New Roman" w:hAnsi="Times New Roman" w:cs="Times New Roman"/>
            <w:b/>
          </w:rPr>
          <w:t xml:space="preserve"> CUERPO</w:t>
        </w:r>
      </w:smartTag>
      <w:r w:rsidR="006B1FEC" w:rsidRPr="00485E4E">
        <w:rPr>
          <w:rFonts w:ascii="Times New Roman" w:hAnsi="Times New Roman" w:cs="Times New Roman"/>
          <w:b/>
        </w:rPr>
        <w:t xml:space="preserve">, SUBJETIVIDAD, PODER Y CÁRCEL. APERTURAS DESDE </w:t>
      </w:r>
      <w:smartTag w:uri="urn:schemas-microsoft-com:office:smarttags" w:element="PersonName">
        <w:smartTagPr>
          <w:attr w:name="ProductID" w:val="LA NARRATIVA."/>
        </w:smartTagPr>
        <w:r w:rsidR="006B1FEC" w:rsidRPr="00485E4E">
          <w:rPr>
            <w:rFonts w:ascii="Times New Roman" w:hAnsi="Times New Roman" w:cs="Times New Roman"/>
            <w:b/>
          </w:rPr>
          <w:t>LA NARRATIVA.</w:t>
        </w:r>
      </w:smartTag>
    </w:p>
    <w:p w:rsidR="006B1FEC" w:rsidRDefault="006B1FEC" w:rsidP="006B1FEC">
      <w:pPr>
        <w:spacing w:after="0" w:line="360" w:lineRule="auto"/>
        <w:jc w:val="both"/>
        <w:rPr>
          <w:rFonts w:ascii="Times New Roman" w:eastAsia="Times New Roman" w:hAnsi="Times New Roman" w:cs="Times New Roman"/>
          <w:b/>
          <w:sz w:val="24"/>
          <w:szCs w:val="24"/>
          <w:lang w:val="es-ES" w:eastAsia="es-ES"/>
        </w:rPr>
      </w:pPr>
    </w:p>
    <w:p w:rsidR="006B1FEC" w:rsidRDefault="006B1FEC" w:rsidP="006B1FEC">
      <w:pPr>
        <w:spacing w:after="0" w:line="360" w:lineRule="auto"/>
        <w:jc w:val="both"/>
        <w:rPr>
          <w:rFonts w:ascii="Times New Roman" w:eastAsia="Times New Roman" w:hAnsi="Times New Roman" w:cs="Times New Roman"/>
          <w:b/>
          <w:sz w:val="24"/>
          <w:szCs w:val="24"/>
          <w:lang w:val="es-ES" w:eastAsia="es-ES"/>
        </w:rPr>
      </w:pPr>
    </w:p>
    <w:p w:rsidR="006B1FEC" w:rsidRPr="006B1FEC" w:rsidRDefault="006B1FEC" w:rsidP="006B1FEC">
      <w:pPr>
        <w:spacing w:after="0" w:line="360" w:lineRule="auto"/>
        <w:jc w:val="both"/>
        <w:rPr>
          <w:rFonts w:ascii="Times New Roman" w:eastAsia="Times New Roman" w:hAnsi="Times New Roman" w:cs="Times New Roman"/>
          <w:sz w:val="24"/>
          <w:szCs w:val="24"/>
          <w:lang w:val="es-ES" w:eastAsia="es-ES"/>
        </w:rPr>
      </w:pPr>
      <w:r>
        <w:rPr>
          <w:rFonts w:ascii="Times New Roman" w:eastAsia="Times New Roman" w:hAnsi="Times New Roman" w:cs="Times New Roman"/>
          <w:b/>
          <w:sz w:val="24"/>
          <w:szCs w:val="24"/>
          <w:lang w:val="es-ES" w:eastAsia="es-ES"/>
        </w:rPr>
        <w:t xml:space="preserve">Tema: </w:t>
      </w:r>
      <w:r w:rsidR="00B524D8">
        <w:rPr>
          <w:rFonts w:ascii="Times New Roman" w:eastAsia="Times New Roman" w:hAnsi="Times New Roman" w:cs="Times New Roman"/>
          <w:b/>
          <w:sz w:val="24"/>
          <w:szCs w:val="24"/>
          <w:lang w:val="es-ES" w:eastAsia="es-ES"/>
        </w:rPr>
        <w:t xml:space="preserve"> </w:t>
      </w:r>
      <w:r w:rsidRPr="006B1FEC">
        <w:rPr>
          <w:rFonts w:ascii="Times New Roman" w:eastAsia="Times New Roman" w:hAnsi="Times New Roman" w:cs="Times New Roman"/>
          <w:b/>
          <w:sz w:val="24"/>
          <w:szCs w:val="24"/>
          <w:lang w:val="es-ES" w:eastAsia="es-ES"/>
        </w:rPr>
        <w:t xml:space="preserve">LOS MARCOS INSTITUCIONALES TÉCNICO CIENTÍFICOS Y JURÍDICOS EN </w:t>
      </w:r>
      <w:smartTag w:uri="urn:schemas-microsoft-com:office:smarttags" w:element="PersonName">
        <w:smartTagPr>
          <w:attr w:name="ProductID" w:val="LA PRODUCCIￓN DE"/>
        </w:smartTagPr>
        <w:r w:rsidRPr="006B1FEC">
          <w:rPr>
            <w:rFonts w:ascii="Times New Roman" w:eastAsia="Times New Roman" w:hAnsi="Times New Roman" w:cs="Times New Roman"/>
            <w:b/>
            <w:sz w:val="24"/>
            <w:szCs w:val="24"/>
            <w:lang w:val="es-ES" w:eastAsia="es-ES"/>
          </w:rPr>
          <w:t>LA PRODUCCIÓN DE</w:t>
        </w:r>
      </w:smartTag>
      <w:r w:rsidRPr="006B1FEC">
        <w:rPr>
          <w:rFonts w:ascii="Times New Roman" w:eastAsia="Times New Roman" w:hAnsi="Times New Roman" w:cs="Times New Roman"/>
          <w:b/>
          <w:sz w:val="24"/>
          <w:szCs w:val="24"/>
          <w:lang w:val="es-ES" w:eastAsia="es-ES"/>
        </w:rPr>
        <w:t xml:space="preserve"> CUERPOS Y SUBJETIVIDADES EN RELACIÓN A </w:t>
      </w:r>
      <w:smartTag w:uri="urn:schemas-microsoft-com:office:smarttags" w:element="PersonName">
        <w:smartTagPr>
          <w:attr w:name="ProductID" w:val="LA DELINCUENCIA. LA"/>
        </w:smartTagPr>
        <w:r w:rsidRPr="006B1FEC">
          <w:rPr>
            <w:rFonts w:ascii="Times New Roman" w:eastAsia="Times New Roman" w:hAnsi="Times New Roman" w:cs="Times New Roman"/>
            <w:b/>
            <w:sz w:val="24"/>
            <w:szCs w:val="24"/>
            <w:lang w:val="es-ES" w:eastAsia="es-ES"/>
          </w:rPr>
          <w:t>LA DELINCUENCIA</w:t>
        </w:r>
        <w:r w:rsidRPr="006B1FEC">
          <w:rPr>
            <w:rFonts w:ascii="Times New Roman" w:eastAsia="Times New Roman" w:hAnsi="Times New Roman" w:cs="Times New Roman"/>
            <w:sz w:val="24"/>
            <w:szCs w:val="24"/>
            <w:lang w:val="es-ES" w:eastAsia="es-ES"/>
          </w:rPr>
          <w:t xml:space="preserve">. </w:t>
        </w:r>
        <w:r w:rsidRPr="006B1FEC">
          <w:rPr>
            <w:rFonts w:ascii="Times New Roman" w:eastAsia="Times New Roman" w:hAnsi="Times New Roman" w:cs="Times New Roman"/>
            <w:b/>
            <w:sz w:val="24"/>
            <w:szCs w:val="24"/>
            <w:lang w:val="es-ES" w:eastAsia="es-ES"/>
          </w:rPr>
          <w:t>LA</w:t>
        </w:r>
      </w:smartTag>
      <w:r w:rsidRPr="006B1FEC">
        <w:rPr>
          <w:rFonts w:ascii="Times New Roman" w:eastAsia="Times New Roman" w:hAnsi="Times New Roman" w:cs="Times New Roman"/>
          <w:b/>
          <w:sz w:val="24"/>
          <w:szCs w:val="24"/>
          <w:lang w:val="es-ES" w:eastAsia="es-ES"/>
        </w:rPr>
        <w:t xml:space="preserve"> CÁRCEL HOY</w:t>
      </w:r>
    </w:p>
    <w:p w:rsidR="006B1FEC" w:rsidRPr="006B1FEC" w:rsidRDefault="006B1FEC" w:rsidP="006B1FEC">
      <w:pPr>
        <w:spacing w:after="0" w:line="360" w:lineRule="auto"/>
        <w:jc w:val="both"/>
        <w:rPr>
          <w:rFonts w:ascii="Times New Roman" w:eastAsia="Times New Roman" w:hAnsi="Times New Roman" w:cs="Times New Roman"/>
          <w:sz w:val="24"/>
          <w:szCs w:val="24"/>
          <w:lang w:val="es-ES" w:eastAsia="es-ES"/>
        </w:rPr>
      </w:pPr>
    </w:p>
    <w:p w:rsidR="006B1FEC" w:rsidRPr="006B1FEC" w:rsidRDefault="006B1FEC" w:rsidP="006B1FEC">
      <w:pPr>
        <w:spacing w:after="0" w:line="360" w:lineRule="auto"/>
        <w:jc w:val="both"/>
        <w:rPr>
          <w:rFonts w:ascii="Times New Roman" w:eastAsia="Times New Roman" w:hAnsi="Times New Roman" w:cs="Times New Roman"/>
          <w:b/>
          <w:sz w:val="24"/>
          <w:szCs w:val="24"/>
          <w:lang w:val="es-ES" w:eastAsia="es-ES"/>
        </w:rPr>
      </w:pPr>
      <w:r w:rsidRPr="006B1FEC">
        <w:rPr>
          <w:rFonts w:ascii="Times New Roman" w:eastAsia="Times New Roman" w:hAnsi="Times New Roman" w:cs="Times New Roman"/>
          <w:b/>
          <w:sz w:val="24"/>
          <w:szCs w:val="24"/>
          <w:lang w:val="es-ES" w:eastAsia="es-ES"/>
        </w:rPr>
        <w:t>Breve historia de la pena en prisión como castigo</w:t>
      </w:r>
    </w:p>
    <w:p w:rsidR="006B1FEC" w:rsidRPr="006B1FEC" w:rsidRDefault="006B1FEC" w:rsidP="006B1FEC">
      <w:pPr>
        <w:spacing w:after="0" w:line="360" w:lineRule="auto"/>
        <w:ind w:left="360"/>
        <w:jc w:val="both"/>
        <w:rPr>
          <w:rFonts w:ascii="Times New Roman" w:eastAsia="Times New Roman" w:hAnsi="Times New Roman" w:cs="Times New Roman"/>
          <w:b/>
          <w:sz w:val="24"/>
          <w:szCs w:val="24"/>
          <w:lang w:val="es-ES"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Hacia los siglos XVIII y SXIX el suplicio como espectáculo desaparece. Surge en el seno de la sociedad contractual, (aquella devenida de la mano de la burguesía ante la caída del poder monárquico), una nueva forma de considerar el delito y al delincuente. El delito entendido como una afrenta al rey, al soberano que encarnaba la figura divina y que necesitaba de venganza propia para reparar ese daño ante su investidura; es reemplazado por una nueva forma de considerar el delito / castigo y es justamente que el castigo es ahora una afrenta a la sociedad toda, al éjido del conjunto social; el castigo debe entenderse en este contexto, como una </w:t>
      </w:r>
      <w:r w:rsidRPr="006B1FEC">
        <w:rPr>
          <w:rFonts w:ascii="Times New Roman" w:eastAsia="Times New Roman" w:hAnsi="Times New Roman" w:cs="Times New Roman"/>
          <w:i/>
          <w:sz w:val="24"/>
          <w:szCs w:val="24"/>
          <w:lang w:val="es-ES_tradnl" w:eastAsia="es-ES"/>
        </w:rPr>
        <w:t>defensa</w:t>
      </w:r>
      <w:r w:rsidRPr="006B1FEC">
        <w:rPr>
          <w:rFonts w:ascii="Times New Roman" w:eastAsia="Times New Roman" w:hAnsi="Times New Roman" w:cs="Times New Roman"/>
          <w:sz w:val="24"/>
          <w:szCs w:val="24"/>
          <w:lang w:val="es-ES_tradnl" w:eastAsia="es-ES"/>
        </w:rPr>
        <w:t xml:space="preserve"> a la sociedad. Surge así una forma general de castigo: el encierro carcelario, pena uniforme cuyo fin explícito es la "rehabilitación" "readaptación" de los reclusos; impedir que el criminal reincida mediante los dispositivos que surgen en el siglo SVIII: la disciplina de la conducta.  Disciplinamiento adiestrable de conductas de cuerpos que necesitaban, para la burguesía en ascenso, modelarse a través del control disciplinar del orden, y de los criterios de normalización y moral que imponían las nacientes ciencias sociales asimismo conjunto a las prisiones. (Neuman, Elías; 2001:142)</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Como sostiene Foucault, estamos en presencia de una nueva tecnología política de poder: el surgimiento de la disciplina: mutación política ésta, que viene de la mano de otra gran mutación económica: el proyecto económico capitalista de la burguesía, desplegado con fuerza a partir de las grandes revoluciones industriales. (Foucault, Michel; 2005: 23/24)</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De esta manera, siguiendo a Neuman decimos que,  la prisión entonces entendida como correctora moral de conductas, como pena, no fue conocida en </w:t>
      </w:r>
      <w:smartTag w:uri="urn:schemas-microsoft-com:office:smarttags" w:element="PersonName">
        <w:smartTagPr>
          <w:attr w:name="ProductID" w:val="la Edad Media"/>
        </w:smartTagPr>
        <w:r w:rsidRPr="006B1FEC">
          <w:rPr>
            <w:rFonts w:ascii="Times New Roman" w:eastAsia="Times New Roman" w:hAnsi="Times New Roman" w:cs="Times New Roman"/>
            <w:sz w:val="24"/>
            <w:szCs w:val="24"/>
            <w:lang w:val="es-ES_tradnl" w:eastAsia="es-ES"/>
          </w:rPr>
          <w:t>la Edad Media</w:t>
        </w:r>
      </w:smartTag>
      <w:r w:rsidRPr="006B1FEC">
        <w:rPr>
          <w:rFonts w:ascii="Times New Roman" w:eastAsia="Times New Roman" w:hAnsi="Times New Roman" w:cs="Times New Roman"/>
          <w:sz w:val="24"/>
          <w:szCs w:val="24"/>
          <w:lang w:val="es-ES_tradnl" w:eastAsia="es-ES"/>
        </w:rPr>
        <w:t xml:space="preserve"> ni en </w:t>
      </w:r>
      <w:smartTag w:uri="urn:schemas-microsoft-com:office:smarttags" w:element="PersonName">
        <w:smartTagPr>
          <w:attr w:name="ProductID" w:val="la Edad Moderna"/>
        </w:smartTagPr>
        <w:r w:rsidRPr="006B1FEC">
          <w:rPr>
            <w:rFonts w:ascii="Times New Roman" w:eastAsia="Times New Roman" w:hAnsi="Times New Roman" w:cs="Times New Roman"/>
            <w:sz w:val="24"/>
            <w:szCs w:val="24"/>
            <w:lang w:val="es-ES_tradnl" w:eastAsia="es-ES"/>
          </w:rPr>
          <w:t>la Edad Moderna</w:t>
        </w:r>
      </w:smartTag>
      <w:r w:rsidRPr="006B1FEC">
        <w:rPr>
          <w:rFonts w:ascii="Times New Roman" w:eastAsia="Times New Roman" w:hAnsi="Times New Roman" w:cs="Times New Roman"/>
          <w:sz w:val="24"/>
          <w:szCs w:val="24"/>
          <w:lang w:val="es-ES_tradnl" w:eastAsia="es-ES"/>
        </w:rPr>
        <w:t xml:space="preserve">, salvo elocuentes y esporádicos precedentes de fines del siglo XVI, como </w:t>
      </w:r>
      <w:smartTag w:uri="urn:schemas-microsoft-com:office:smarttags" w:element="PersonName">
        <w:smartTagPr>
          <w:attr w:name="ProductID" w:val="la House"/>
        </w:smartTagPr>
        <w:r w:rsidRPr="006B1FEC">
          <w:rPr>
            <w:rFonts w:ascii="Times New Roman" w:eastAsia="Times New Roman" w:hAnsi="Times New Roman" w:cs="Times New Roman"/>
            <w:sz w:val="24"/>
            <w:szCs w:val="24"/>
            <w:lang w:val="es-ES_tradnl" w:eastAsia="es-ES"/>
          </w:rPr>
          <w:t>la House</w:t>
        </w:r>
      </w:smartTag>
      <w:r w:rsidRPr="006B1FEC">
        <w:rPr>
          <w:rFonts w:ascii="Times New Roman" w:eastAsia="Times New Roman" w:hAnsi="Times New Roman" w:cs="Times New Roman"/>
          <w:sz w:val="24"/>
          <w:szCs w:val="24"/>
          <w:lang w:val="es-ES_tradnl" w:eastAsia="es-ES"/>
        </w:rPr>
        <w:t xml:space="preserve"> of Correction de Bridewel, Londres (1552), a la que siguieron las de Oxford, Gloucester y Salisbury, y en Holanda Rasphuys (1595) para hombres y Spinnhyes (1597) para mujeres, mendigos y personas en custodia dejadas por sus familiares para que mejoraran su conducta. (Neuman, Elías; 2001: 140)</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Así, a mediados del SXVIII aparecieron junto con las nuevas ideas del Iluminismo, reformas en los hechos que se consideraban antisociales, es decir ahora estos hechos serían vistos dentro de un código penal pasibles de una pena privativa de libertad y no de tormentos. Hemos así citar dos publicaciones que se esparcieron causando gran revuelo en el campo jurídico y social de la época: "Dei delitti e delle pene", del marqués Cesare de Beccaria, y "State of prisions" de John Howard. El primero trazo los lineamientos de la reforma de las penas, y Howard dio el basamento humano, si se quiere decir de esta manera, al régimen carcelario. A ambos le corresponde la creación de lo que se llama hasta nuestros días la reforma carcelaria.  (Neuman, Elías; 2001: 140, 141)</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Howard era partidario de levantar establecimientos apropiados para el cumplimiento de la pena de prisión que ya figuraba en la normativa penal. Era partidario, y lo logró de imponer, el trabajo obligatorio e incluso penoso como medio de regeneración moral y normalizador de conductas. Los penados debían trabajar en común, en talleres entre 10 y 12 horas, y reparar con sus manos los deterioros de los edificios. Era partidario de que se le pagara un peculio, aunque menor al que percibía en su vida libre. Los procesados solo podían trabajar cuando se les solicitaba. Dentro de esta reforma jurídica, encuadra asimismo el jurisconsulto inglés Jeremias Bentham </w:t>
      </w:r>
      <w:r w:rsidRPr="006B1FEC">
        <w:rPr>
          <w:rFonts w:ascii="Times New Roman" w:eastAsia="Times New Roman" w:hAnsi="Times New Roman" w:cs="Times New Roman"/>
          <w:sz w:val="24"/>
          <w:szCs w:val="24"/>
          <w:lang w:val="es-ES_tradnl" w:eastAsia="es-ES"/>
        </w:rPr>
        <w:lastRenderedPageBreak/>
        <w:t>(1748 /1832), quien asoció la concepción penitenciaria con la arquitectónica. Fue quien ideó el panóptico, edificio éste que se lo utilizaba por su diseño radial, como cárcel y en las casas de corrección para las que fue pensado. La idea que lo preside como característica principal estriba en que un solo hombre, un vigilante desde una torre central, podía vigilarlo todo. Bentham sostenía que, en cuanto al gobierno interno, la cárcel debía operar reformando moralmente a los presos con medios nuevos para asegurar su buena conducta y proveyendo también a su subsistencia luego de su liberación (Neuman, Elías; 2001: 141).</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Como sostiene Neuman, la pena de prisión, en este contexto, se corresponde con una nueva respuesta humanitaria frente a la infracción penal. No se pretenden ya penas corporales inhumanas y degradantes, sino el simple castigo con miras a la corrección y encauzamiento, y, al fin, a la recuperación del infractor. La pena se encauza con esa finalidad. En este contexto histórico, tomando la formulación del castigo que implica la pérdida de libertad, la libertad aparece entonces, como uno de los bienes mas preciados para el hombre. (Neuman, Elías; 2001: 142) </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Y esto debemos relacionarlo con el contexto de las ideas libertarias que trajo la revolución francesa.</w:t>
      </w: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Para efectivizar la ejecución de la pena y favorecer las finalidades conceptuales propuestas, se crean diversos regímenes penitenciarios, según Neuman, entre los que se destacan dos modelos norteamericanos: el pensilvánico o filadélfico; y el auburniano. El primero consistía en el aislamiento diario del penado en celda individual y bajo la regla del silencio absoluto y, como actividad, la lectura obligada de </w:t>
      </w:r>
      <w:smartTag w:uri="urn:schemas-microsoft-com:office:smarttags" w:element="PersonName">
        <w:smartTagPr>
          <w:attr w:name="ProductID" w:val="la Biblia. El"/>
        </w:smartTagPr>
        <w:r w:rsidRPr="006B1FEC">
          <w:rPr>
            <w:rFonts w:ascii="Times New Roman" w:eastAsia="Times New Roman" w:hAnsi="Times New Roman" w:cs="Times New Roman"/>
            <w:sz w:val="24"/>
            <w:szCs w:val="24"/>
            <w:lang w:val="es-ES_tradnl" w:eastAsia="es-ES"/>
          </w:rPr>
          <w:t>la Biblia. El</w:t>
        </w:r>
      </w:smartTag>
      <w:r w:rsidRPr="006B1FEC">
        <w:rPr>
          <w:rFonts w:ascii="Times New Roman" w:eastAsia="Times New Roman" w:hAnsi="Times New Roman" w:cs="Times New Roman"/>
          <w:sz w:val="24"/>
          <w:szCs w:val="24"/>
          <w:lang w:val="es-ES_tradnl" w:eastAsia="es-ES"/>
        </w:rPr>
        <w:t xml:space="preserve"> auburniano era más permisivo, ya que suponía la convivencia de los presos durante el día bajo la regla del silencio, es decir, no podían hablarse y cualquier fractura de esta norma implicaba un severo castigo. Además, este sistema tenía el trabajo como obligatorio. En Europa estos sistemas no cuajaron. Si, en cambio el llamado </w:t>
      </w:r>
      <w:r w:rsidRPr="006B1FEC">
        <w:rPr>
          <w:rFonts w:ascii="Times New Roman" w:eastAsia="Times New Roman" w:hAnsi="Times New Roman" w:cs="Times New Roman"/>
          <w:i/>
          <w:sz w:val="24"/>
          <w:szCs w:val="24"/>
          <w:lang w:val="es-ES_tradnl" w:eastAsia="es-ES"/>
        </w:rPr>
        <w:t>progresivo</w:t>
      </w:r>
      <w:r w:rsidRPr="006B1FEC">
        <w:rPr>
          <w:rFonts w:ascii="Times New Roman" w:eastAsia="Times New Roman" w:hAnsi="Times New Roman" w:cs="Times New Roman"/>
          <w:sz w:val="24"/>
          <w:szCs w:val="24"/>
          <w:lang w:val="es-ES_tradnl" w:eastAsia="es-ES"/>
        </w:rPr>
        <w:t>, que tiene antecedentes en 1850 en el presidio de Valencia, con el coronel Montesinos.    De usar grilletes en los pies, vigilancia estricta y prohibiciones, se podía llegar con el transcurso del tiempo y la buena conducta a la libertad condicional y al régimen que hoy denominamos abierto. (Neuman, Elías; 2001: 142/143)</w:t>
      </w:r>
    </w:p>
    <w:p w:rsidR="006B1FEC" w:rsidRPr="006B1FEC" w:rsidRDefault="006B1FEC" w:rsidP="006E418E">
      <w:pPr>
        <w:spacing w:after="0" w:line="240" w:lineRule="auto"/>
        <w:jc w:val="both"/>
        <w:rPr>
          <w:rFonts w:ascii="Times New Roman" w:eastAsia="Times New Roman" w:hAnsi="Times New Roman" w:cs="Times New Roman"/>
          <w:i/>
          <w:sz w:val="24"/>
          <w:szCs w:val="24"/>
          <w:u w:val="single"/>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Notamos así que, </w:t>
      </w:r>
      <w:r w:rsidRPr="006B1FEC">
        <w:rPr>
          <w:rFonts w:ascii="Times New Roman" w:eastAsia="Times New Roman" w:hAnsi="Times New Roman" w:cs="Times New Roman"/>
          <w:sz w:val="24"/>
          <w:szCs w:val="24"/>
          <w:u w:val="single"/>
          <w:lang w:val="es-ES_tradnl" w:eastAsia="es-ES"/>
        </w:rPr>
        <w:t>es</w:t>
      </w:r>
      <w:r w:rsidRPr="006B1FEC">
        <w:rPr>
          <w:rFonts w:ascii="Times New Roman" w:eastAsia="Times New Roman" w:hAnsi="Times New Roman" w:cs="Times New Roman"/>
          <w:sz w:val="24"/>
          <w:szCs w:val="24"/>
          <w:lang w:val="es-ES_tradnl" w:eastAsia="es-ES"/>
        </w:rPr>
        <w:t xml:space="preserve"> en los regímenes progresivos, en los que se visualiza hoy en día, al menos, en el discurso oficial, la individuación o personalización de la pena, mediante la clasificación penitenciaria, el tratamiento pertinente, y la idea de “readaptación social” del delincuente ligado al aprendizaje de un trabajo o la escolarización, dentro de las cárceles.</w:t>
      </w:r>
    </w:p>
    <w:p w:rsidR="006B1FEC" w:rsidRPr="006B1FEC" w:rsidRDefault="006B1FEC" w:rsidP="006E418E">
      <w:pPr>
        <w:spacing w:after="0"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i/>
          <w:sz w:val="24"/>
          <w:szCs w:val="24"/>
          <w:lang w:val="es-ES_tradnl" w:eastAsia="es-ES"/>
        </w:rPr>
        <w:t xml:space="preserve"> </w:t>
      </w:r>
      <w:r w:rsidRPr="006B1FEC">
        <w:rPr>
          <w:rFonts w:ascii="Times New Roman" w:eastAsia="Times New Roman" w:hAnsi="Times New Roman" w:cs="Times New Roman"/>
          <w:sz w:val="24"/>
          <w:szCs w:val="24"/>
          <w:lang w:val="es-ES_tradnl" w:eastAsia="es-ES"/>
        </w:rPr>
        <w:t xml:space="preserve">Hoy en Argentina, en el sistema penal bonaerense rige </w:t>
      </w:r>
      <w:smartTag w:uri="urn:schemas-microsoft-com:office:smarttags" w:element="PersonName">
        <w:smartTagPr>
          <w:attr w:name="ProductID" w:val="la Ley"/>
        </w:smartTagPr>
        <w:r w:rsidRPr="006B1FEC">
          <w:rPr>
            <w:rFonts w:ascii="Times New Roman" w:eastAsia="Times New Roman" w:hAnsi="Times New Roman" w:cs="Times New Roman"/>
            <w:sz w:val="24"/>
            <w:szCs w:val="24"/>
            <w:lang w:val="es-ES_tradnl" w:eastAsia="es-ES"/>
          </w:rPr>
          <w:t>la Ley</w:t>
        </w:r>
      </w:smartTag>
      <w:r w:rsidRPr="006B1FEC">
        <w:rPr>
          <w:rFonts w:ascii="Times New Roman" w:eastAsia="Times New Roman" w:hAnsi="Times New Roman" w:cs="Times New Roman"/>
          <w:sz w:val="24"/>
          <w:szCs w:val="24"/>
          <w:lang w:val="es-ES_tradnl" w:eastAsia="es-ES"/>
        </w:rPr>
        <w:t xml:space="preserve"> de Ejecución penal para la provincia de Buenos Aires 12.256, de progresividad de la pena que contempla un tratamiento penitenciario a los privados de libertad acorde a dichas modalidades de punición. </w:t>
      </w:r>
    </w:p>
    <w:p w:rsidR="006B1FEC" w:rsidRPr="006B1FEC" w:rsidRDefault="006B1FEC" w:rsidP="006E418E">
      <w:pPr>
        <w:spacing w:after="0" w:line="240" w:lineRule="auto"/>
        <w:jc w:val="both"/>
        <w:rPr>
          <w:rFonts w:ascii="Times New Roman" w:eastAsia="Times New Roman" w:hAnsi="Times New Roman" w:cs="Times New Roman"/>
          <w:sz w:val="20"/>
          <w:szCs w:val="20"/>
          <w:lang w:val="es-ES" w:eastAsia="es-ES"/>
        </w:rPr>
      </w:pPr>
      <w:r w:rsidRPr="006B1FEC">
        <w:rPr>
          <w:rFonts w:ascii="Times New Roman" w:eastAsia="Times New Roman" w:hAnsi="Times New Roman" w:cs="Times New Roman"/>
          <w:sz w:val="20"/>
          <w:szCs w:val="20"/>
          <w:lang w:val="es-ES" w:eastAsia="es-ES"/>
        </w:rPr>
        <w:t xml:space="preserve">          </w:t>
      </w:r>
    </w:p>
    <w:p w:rsidR="006B1FEC" w:rsidRPr="006B1FEC" w:rsidRDefault="006B1FEC" w:rsidP="006E418E">
      <w:pPr>
        <w:spacing w:after="0" w:line="240" w:lineRule="auto"/>
        <w:jc w:val="both"/>
        <w:rPr>
          <w:rFonts w:ascii="Times New Roman" w:eastAsia="Times New Roman" w:hAnsi="Times New Roman" w:cs="Times New Roman"/>
          <w:sz w:val="20"/>
          <w:szCs w:val="20"/>
          <w:lang w:val="es-ES" w:eastAsia="es-ES"/>
        </w:rPr>
      </w:pPr>
      <w:r w:rsidRPr="006B1FEC">
        <w:rPr>
          <w:rFonts w:ascii="Times New Roman" w:eastAsia="Times New Roman" w:hAnsi="Times New Roman" w:cs="Times New Roman"/>
          <w:sz w:val="20"/>
          <w:szCs w:val="20"/>
          <w:lang w:val="es-ES" w:eastAsia="es-ES"/>
        </w:rPr>
        <w:t xml:space="preserve"> Léase de </w:t>
      </w:r>
      <w:smartTag w:uri="urn:schemas-microsoft-com:office:smarttags" w:element="PersonName">
        <w:smartTagPr>
          <w:attr w:name="ProductID" w:val="la Ley"/>
        </w:smartTagPr>
        <w:r w:rsidRPr="006B1FEC">
          <w:rPr>
            <w:rFonts w:ascii="Times New Roman" w:eastAsia="Times New Roman" w:hAnsi="Times New Roman" w:cs="Times New Roman"/>
            <w:sz w:val="20"/>
            <w:szCs w:val="20"/>
            <w:lang w:val="es-ES" w:eastAsia="es-ES"/>
          </w:rPr>
          <w:t>la Ley</w:t>
        </w:r>
      </w:smartTag>
      <w:r w:rsidRPr="006B1FEC">
        <w:rPr>
          <w:rFonts w:ascii="Times New Roman" w:eastAsia="Times New Roman" w:hAnsi="Times New Roman" w:cs="Times New Roman"/>
          <w:sz w:val="20"/>
          <w:szCs w:val="20"/>
          <w:lang w:val="es-ES" w:eastAsia="es-ES"/>
        </w:rPr>
        <w:t xml:space="preserve"> 12.256 de Ejecución penal Bonaerense</w:t>
      </w:r>
      <w:r w:rsidRPr="006B1FEC">
        <w:rPr>
          <w:rFonts w:ascii="Times New Roman" w:eastAsia="Times New Roman" w:hAnsi="Times New Roman" w:cs="Times New Roman"/>
          <w:sz w:val="20"/>
          <w:szCs w:val="20"/>
          <w:vertAlign w:val="superscript"/>
          <w:lang w:val="es-ES" w:eastAsia="es-ES"/>
        </w:rPr>
        <w:footnoteReference w:id="1"/>
      </w:r>
    </w:p>
    <w:p w:rsidR="006B1FEC" w:rsidRPr="006B1FEC" w:rsidRDefault="006B1FEC" w:rsidP="006E418E">
      <w:pPr>
        <w:spacing w:after="0" w:line="240" w:lineRule="auto"/>
        <w:jc w:val="both"/>
        <w:rPr>
          <w:rFonts w:ascii="Times New Roman" w:eastAsia="Times New Roman" w:hAnsi="Times New Roman" w:cs="Times New Roman"/>
          <w:sz w:val="20"/>
          <w:szCs w:val="20"/>
          <w:lang w:val="es-ES" w:eastAsia="es-ES"/>
        </w:rPr>
      </w:pPr>
    </w:p>
    <w:p w:rsidR="006B1FEC" w:rsidRPr="006B1FEC" w:rsidRDefault="006B1FEC" w:rsidP="006E418E">
      <w:pPr>
        <w:spacing w:after="0" w:line="240" w:lineRule="auto"/>
        <w:jc w:val="both"/>
        <w:rPr>
          <w:rFonts w:ascii="Times New Roman" w:eastAsia="Times New Roman" w:hAnsi="Times New Roman" w:cs="Times New Roman"/>
          <w:b/>
          <w:i/>
          <w:sz w:val="20"/>
          <w:szCs w:val="20"/>
          <w:lang w:val="es-ES" w:eastAsia="es-ES"/>
        </w:rPr>
      </w:pPr>
      <w:r w:rsidRPr="006B1FEC">
        <w:rPr>
          <w:rFonts w:ascii="Times New Roman" w:eastAsia="Times New Roman" w:hAnsi="Times New Roman" w:cs="Times New Roman"/>
          <w:b/>
          <w:i/>
          <w:sz w:val="20"/>
          <w:szCs w:val="20"/>
          <w:lang w:val="es-ES" w:eastAsia="es-ES"/>
        </w:rPr>
        <w:t>CAPITULO II</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FINES Y MEDIOS</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 xml:space="preserve"> ARTICULO 4.- </w:t>
      </w:r>
      <w:r w:rsidRPr="006B1FEC">
        <w:rPr>
          <w:rFonts w:ascii="Times New Roman" w:eastAsia="Times New Roman" w:hAnsi="Times New Roman" w:cs="Times New Roman"/>
          <w:i/>
          <w:sz w:val="20"/>
          <w:szCs w:val="20"/>
          <w:lang w:val="es-ES" w:eastAsia="es-ES"/>
        </w:rPr>
        <w:t>El fin último de la presente Ley es la adecuada inserción social de los procesados y condenados a través de la asistencia o tratamiento y control.</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i/>
          <w:sz w:val="20"/>
          <w:szCs w:val="20"/>
          <w:lang w:val="es-ES" w:eastAsia="es-ES"/>
        </w:rPr>
        <w:t> </w:t>
      </w:r>
      <w:r w:rsidRPr="006B1FEC">
        <w:rPr>
          <w:rFonts w:ascii="Times New Roman" w:eastAsia="Times New Roman" w:hAnsi="Times New Roman" w:cs="Times New Roman"/>
          <w:b/>
          <w:i/>
          <w:sz w:val="20"/>
          <w:szCs w:val="20"/>
          <w:lang w:val="es-ES" w:eastAsia="es-ES"/>
        </w:rPr>
        <w:t xml:space="preserve">ARTICULO 5.- </w:t>
      </w:r>
      <w:r w:rsidRPr="006B1FEC">
        <w:rPr>
          <w:rFonts w:ascii="Times New Roman" w:eastAsia="Times New Roman" w:hAnsi="Times New Roman" w:cs="Times New Roman"/>
          <w:i/>
          <w:sz w:val="20"/>
          <w:szCs w:val="20"/>
          <w:lang w:val="es-ES" w:eastAsia="es-ES"/>
        </w:rPr>
        <w:t xml:space="preserve">La asistencia y/o tratamiento estarán dirigidos al fortalecimiento de la dignidad humana y el estímulo de actitudes solidarias inherentes a su condición de ser social, a partir de la satisfacción de sus necesidades y del desarrollo de sus potencialidades individuales. </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PARTE PRIMERA</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DEL SERVICIO PENITENCIARIO</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TITULO PRIMERO</w:t>
      </w:r>
    </w:p>
    <w:p w:rsidR="006B1FEC" w:rsidRPr="006B1FEC" w:rsidRDefault="006B1FEC" w:rsidP="006E418E">
      <w:pPr>
        <w:spacing w:after="0" w:line="240" w:lineRule="auto"/>
        <w:jc w:val="both"/>
        <w:rPr>
          <w:rFonts w:ascii="Times New Roman" w:eastAsia="Times New Roman" w:hAnsi="Times New Roman" w:cs="Times New Roman"/>
          <w:b/>
          <w:i/>
          <w:sz w:val="20"/>
          <w:szCs w:val="20"/>
          <w:lang w:val="es-ES" w:eastAsia="es-ES"/>
        </w:rPr>
      </w:pPr>
      <w:r w:rsidRPr="006B1FEC">
        <w:rPr>
          <w:rFonts w:ascii="Times New Roman" w:eastAsia="Times New Roman" w:hAnsi="Times New Roman" w:cs="Times New Roman"/>
          <w:b/>
          <w:i/>
          <w:sz w:val="20"/>
          <w:szCs w:val="20"/>
          <w:lang w:val="es-ES" w:eastAsia="es-ES"/>
        </w:rPr>
        <w:t>NORMATIVA BASICA</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 xml:space="preserve">CAPITULO I </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t>REGIMENES DE ASISTENCIA Y/O TRATAMIENTO</w:t>
      </w:r>
    </w:p>
    <w:p w:rsidR="006B1FEC" w:rsidRPr="006B1FEC" w:rsidRDefault="006B1FEC" w:rsidP="006E418E">
      <w:pPr>
        <w:spacing w:after="0"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i/>
          <w:sz w:val="20"/>
          <w:szCs w:val="20"/>
          <w:lang w:val="es-ES" w:eastAsia="es-ES"/>
        </w:rPr>
        <w:t> </w:t>
      </w:r>
    </w:p>
    <w:p w:rsidR="006B1FEC" w:rsidRPr="006B1FEC" w:rsidRDefault="006B1FEC" w:rsidP="006E418E">
      <w:pPr>
        <w:autoSpaceDE w:val="0"/>
        <w:autoSpaceDN w:val="0"/>
        <w:adjustRightInd w:val="0"/>
        <w:spacing w:before="100" w:beforeAutospacing="1" w:after="100" w:afterAutospacing="1"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b/>
          <w:i/>
          <w:sz w:val="20"/>
          <w:szCs w:val="20"/>
          <w:lang w:val="es-ES" w:eastAsia="es-ES"/>
        </w:rPr>
        <w:lastRenderedPageBreak/>
        <w:t xml:space="preserve">ARTICULO 6.- (Texto según Ley 14296) </w:t>
      </w:r>
      <w:r w:rsidRPr="006B1FEC">
        <w:rPr>
          <w:rFonts w:ascii="Times New Roman" w:eastAsia="Times New Roman" w:hAnsi="Times New Roman" w:cs="Times New Roman"/>
          <w:i/>
          <w:sz w:val="20"/>
          <w:szCs w:val="20"/>
          <w:lang w:val="es-ES" w:eastAsia="es-ES"/>
        </w:rPr>
        <w:t>El régimen de procesados, caracterizado por la asistencia, se efectivizará a través de dos modalidades: atenuada y estricta. El régimen de condenados, caracterizado por la asistencia y/o tratamiento, comprenderá los regímenes abiertos, semi-abiertos y cerrados, los que serán de utilización alternativa y no necesariamente secuencial.</w:t>
      </w:r>
    </w:p>
    <w:p w:rsidR="006B1FEC" w:rsidRPr="006B1FEC" w:rsidRDefault="006B1FEC" w:rsidP="006E418E">
      <w:pPr>
        <w:autoSpaceDE w:val="0"/>
        <w:autoSpaceDN w:val="0"/>
        <w:adjustRightInd w:val="0"/>
        <w:spacing w:before="100" w:beforeAutospacing="1" w:after="100" w:afterAutospacing="1" w:line="240" w:lineRule="auto"/>
        <w:jc w:val="both"/>
        <w:rPr>
          <w:rFonts w:ascii="Times New Roman" w:eastAsia="Times New Roman" w:hAnsi="Times New Roman" w:cs="Times New Roman"/>
          <w:i/>
          <w:sz w:val="20"/>
          <w:szCs w:val="20"/>
          <w:lang w:val="es-ES" w:eastAsia="es-ES"/>
        </w:rPr>
      </w:pPr>
      <w:r w:rsidRPr="006B1FEC">
        <w:rPr>
          <w:rFonts w:ascii="Times New Roman" w:eastAsia="Times New Roman" w:hAnsi="Times New Roman" w:cs="Times New Roman"/>
          <w:i/>
          <w:sz w:val="20"/>
          <w:szCs w:val="20"/>
          <w:lang w:val="es-ES" w:eastAsia="es-ES"/>
        </w:rPr>
        <w:t>Los derechos que esta ley acuerda a los penados serán también de aplicación a procesados en la medida en que su ejercicio no contradiga el principio de inocencia y resulten más favorables y útiles para resguardar su personalidad.</w:t>
      </w:r>
    </w:p>
    <w:p w:rsidR="006B1FEC" w:rsidRPr="006B1FEC" w:rsidRDefault="006B1FEC" w:rsidP="006E418E">
      <w:pPr>
        <w:spacing w:after="0" w:line="240" w:lineRule="auto"/>
        <w:jc w:val="both"/>
        <w:rPr>
          <w:rFonts w:ascii="Times New Roman" w:eastAsia="Times New Roman" w:hAnsi="Times New Roman" w:cs="Times New Roman"/>
          <w:sz w:val="20"/>
          <w:szCs w:val="20"/>
          <w:lang w:val="es-ES" w:eastAsia="es-ES"/>
        </w:rPr>
      </w:pP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r w:rsidRPr="006B1FEC">
        <w:rPr>
          <w:rFonts w:ascii="Times New Roman" w:eastAsia="Times New Roman" w:hAnsi="Times New Roman" w:cs="Times New Roman"/>
          <w:b/>
          <w:bCs/>
          <w:sz w:val="24"/>
          <w:szCs w:val="24"/>
          <w:lang w:val="es-ES_tradnl" w:eastAsia="es-ES"/>
        </w:rPr>
        <w:t>El dispositivo técnico político criminológico del “tratamiento” de delincuentes en Argentina: Su historia</w:t>
      </w: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r w:rsidRPr="006B1FEC">
        <w:rPr>
          <w:rFonts w:ascii="Times New Roman" w:eastAsia="Times New Roman" w:hAnsi="Times New Roman" w:cs="Times New Roman"/>
          <w:b/>
          <w:bCs/>
          <w:sz w:val="24"/>
          <w:szCs w:val="24"/>
          <w:lang w:val="es-ES_tradnl" w:eastAsia="es-ES"/>
        </w:rPr>
        <w:t>El modelo médico alienista decimonónico</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spacing w:val="-2"/>
          <w:sz w:val="24"/>
          <w:szCs w:val="24"/>
          <w:lang w:val="es-ES_tradnl" w:eastAsia="es-ES"/>
        </w:rPr>
      </w:pPr>
      <w:r w:rsidRPr="006B1FEC">
        <w:rPr>
          <w:rFonts w:ascii="Times New Roman" w:eastAsia="Times New Roman" w:hAnsi="Times New Roman" w:cs="Times New Roman"/>
          <w:spacing w:val="-2"/>
          <w:sz w:val="24"/>
          <w:szCs w:val="24"/>
          <w:lang w:val="es-ES_tradnl" w:eastAsia="es-ES"/>
        </w:rPr>
        <w:t xml:space="preserve">Según Murillo, el "tratamiento" de delincuentes en la criminología correccional emergió a partir de la matriz médico- alienista de los hospitales psiquiátricos y tendió a la regeneración de los sujetos del pacto social. </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spacing w:val="-2"/>
          <w:sz w:val="24"/>
          <w:szCs w:val="24"/>
          <w:lang w:val="es-ES_tradnl" w:eastAsia="es-ES"/>
        </w:rPr>
      </w:pPr>
      <w:r w:rsidRPr="006B1FEC">
        <w:rPr>
          <w:rFonts w:ascii="Times New Roman" w:eastAsia="Times New Roman" w:hAnsi="Times New Roman" w:cs="Times New Roman"/>
          <w:spacing w:val="-2"/>
          <w:sz w:val="24"/>
          <w:szCs w:val="24"/>
          <w:lang w:val="es-ES_tradnl" w:eastAsia="es-ES"/>
        </w:rPr>
        <w:t xml:space="preserve">En </w:t>
      </w:r>
      <w:smartTag w:uri="urn:schemas-microsoft-com:office:smarttags" w:element="PersonName">
        <w:smartTagPr>
          <w:attr w:name="ProductID" w:val="la Argentina"/>
        </w:smartTagPr>
        <w:r w:rsidRPr="006B1FEC">
          <w:rPr>
            <w:rFonts w:ascii="Times New Roman" w:eastAsia="Times New Roman" w:hAnsi="Times New Roman" w:cs="Times New Roman"/>
            <w:spacing w:val="-2"/>
            <w:sz w:val="24"/>
            <w:szCs w:val="24"/>
            <w:lang w:val="es-ES_tradnl" w:eastAsia="es-ES"/>
          </w:rPr>
          <w:t>la Argentina</w:t>
        </w:r>
      </w:smartTag>
      <w:r w:rsidRPr="006B1FEC">
        <w:rPr>
          <w:rFonts w:ascii="Times New Roman" w:eastAsia="Times New Roman" w:hAnsi="Times New Roman" w:cs="Times New Roman"/>
          <w:spacing w:val="-2"/>
          <w:sz w:val="24"/>
          <w:szCs w:val="24"/>
          <w:lang w:val="es-ES_tradnl" w:eastAsia="es-ES"/>
        </w:rPr>
        <w:t xml:space="preserve"> de fines de siglo XIX, la consolidación de esta estrategia discursiva, se dio en el contexto de un Régimen político de gobierno</w:t>
      </w:r>
      <w:r w:rsidRPr="006B1FEC">
        <w:rPr>
          <w:rFonts w:ascii="Times New Roman" w:eastAsia="Times New Roman" w:hAnsi="Times New Roman" w:cs="Times New Roman"/>
          <w:spacing w:val="-3"/>
          <w:sz w:val="24"/>
          <w:szCs w:val="24"/>
          <w:lang w:val="es-ES_tradnl" w:eastAsia="es-ES"/>
        </w:rPr>
        <w:t>,</w:t>
      </w:r>
      <w:r w:rsidRPr="006B1FEC">
        <w:rPr>
          <w:rFonts w:ascii="Times New Roman" w:eastAsia="Times New Roman" w:hAnsi="Times New Roman" w:cs="Times New Roman"/>
          <w:spacing w:val="-2"/>
          <w:sz w:val="24"/>
          <w:szCs w:val="24"/>
          <w:lang w:val="es-ES_tradnl" w:eastAsia="es-ES"/>
        </w:rPr>
        <w:t xml:space="preserve"> basado en una democracia restringida, que articuló los poderes del Estado, con los de organizaciones privadas de caridad, ligas de madres de familia y organizaciones científicas, en una red cuyo objetivo estratégico fue la </w:t>
      </w:r>
      <w:r w:rsidRPr="006B1FEC">
        <w:rPr>
          <w:rFonts w:ascii="Times New Roman" w:eastAsia="Times New Roman" w:hAnsi="Times New Roman" w:cs="Times New Roman"/>
          <w:i/>
          <w:iCs/>
          <w:spacing w:val="-2"/>
          <w:sz w:val="24"/>
          <w:szCs w:val="24"/>
          <w:lang w:val="es-ES_tradnl" w:eastAsia="es-ES"/>
        </w:rPr>
        <w:t xml:space="preserve">  homogeneización</w:t>
      </w:r>
      <w:r w:rsidRPr="006B1FEC">
        <w:rPr>
          <w:rFonts w:ascii="Times New Roman" w:eastAsia="Times New Roman" w:hAnsi="Times New Roman" w:cs="Times New Roman"/>
          <w:spacing w:val="-2"/>
          <w:sz w:val="24"/>
          <w:szCs w:val="24"/>
          <w:lang w:val="es-ES_tradnl" w:eastAsia="es-ES"/>
        </w:rPr>
        <w:t xml:space="preserve"> y el </w:t>
      </w:r>
      <w:r w:rsidRPr="006B1FEC">
        <w:rPr>
          <w:rFonts w:ascii="Times New Roman" w:eastAsia="Times New Roman" w:hAnsi="Times New Roman" w:cs="Times New Roman"/>
          <w:i/>
          <w:iCs/>
          <w:spacing w:val="-2"/>
          <w:sz w:val="24"/>
          <w:szCs w:val="24"/>
          <w:lang w:val="es-ES_tradnl" w:eastAsia="es-ES"/>
        </w:rPr>
        <w:t>disciplinamiento</w:t>
      </w:r>
      <w:r w:rsidRPr="006B1FEC">
        <w:rPr>
          <w:rFonts w:ascii="Times New Roman" w:eastAsia="Times New Roman" w:hAnsi="Times New Roman" w:cs="Times New Roman"/>
          <w:spacing w:val="-2"/>
          <w:sz w:val="24"/>
          <w:szCs w:val="24"/>
          <w:lang w:val="es-ES_tradnl" w:eastAsia="es-ES"/>
        </w:rPr>
        <w:t xml:space="preserve"> de la población. La táctica seguida de modo predominante (no exclusivo) ya no fue la </w:t>
      </w:r>
      <w:r w:rsidRPr="006B1FEC">
        <w:rPr>
          <w:rFonts w:ascii="Times New Roman" w:eastAsia="Times New Roman" w:hAnsi="Times New Roman" w:cs="Times New Roman"/>
          <w:i/>
          <w:iCs/>
          <w:spacing w:val="-2"/>
          <w:sz w:val="24"/>
          <w:szCs w:val="24"/>
          <w:lang w:val="es-ES_tradnl" w:eastAsia="es-ES"/>
        </w:rPr>
        <w:t>violencia directa</w:t>
      </w:r>
      <w:r w:rsidRPr="006B1FEC">
        <w:rPr>
          <w:rFonts w:ascii="Times New Roman" w:eastAsia="Times New Roman" w:hAnsi="Times New Roman" w:cs="Times New Roman"/>
          <w:spacing w:val="-2"/>
          <w:sz w:val="24"/>
          <w:szCs w:val="24"/>
          <w:lang w:val="es-ES_tradnl" w:eastAsia="es-ES"/>
        </w:rPr>
        <w:t xml:space="preserve"> sobre los cuerpos sino la </w:t>
      </w:r>
      <w:r w:rsidRPr="006B1FEC">
        <w:rPr>
          <w:rFonts w:ascii="Times New Roman" w:eastAsia="Times New Roman" w:hAnsi="Times New Roman" w:cs="Times New Roman"/>
          <w:i/>
          <w:iCs/>
          <w:spacing w:val="-2"/>
          <w:sz w:val="24"/>
          <w:szCs w:val="24"/>
          <w:lang w:val="es-ES_tradnl" w:eastAsia="es-ES"/>
        </w:rPr>
        <w:t>moralización</w:t>
      </w:r>
      <w:r w:rsidRPr="006B1FEC">
        <w:rPr>
          <w:rFonts w:ascii="Times New Roman" w:eastAsia="Times New Roman" w:hAnsi="Times New Roman" w:cs="Times New Roman"/>
          <w:spacing w:val="-2"/>
          <w:sz w:val="24"/>
          <w:szCs w:val="24"/>
          <w:lang w:val="es-ES_tradnl" w:eastAsia="es-ES"/>
        </w:rPr>
        <w:t xml:space="preserve">.  Para Murillo, el blanco fueron los llamados "pobres peligrosos", que en </w:t>
      </w:r>
      <w:smartTag w:uri="urn:schemas-microsoft-com:office:smarttags" w:element="PersonName">
        <w:smartTagPr>
          <w:attr w:name="ProductID" w:val="la Argentina"/>
        </w:smartTagPr>
        <w:r w:rsidRPr="006B1FEC">
          <w:rPr>
            <w:rFonts w:ascii="Times New Roman" w:eastAsia="Times New Roman" w:hAnsi="Times New Roman" w:cs="Times New Roman"/>
            <w:spacing w:val="-2"/>
            <w:sz w:val="24"/>
            <w:szCs w:val="24"/>
            <w:lang w:val="es-ES_tradnl" w:eastAsia="es-ES"/>
          </w:rPr>
          <w:t>la Argentina</w:t>
        </w:r>
      </w:smartTag>
      <w:r w:rsidRPr="006B1FEC">
        <w:rPr>
          <w:rFonts w:ascii="Times New Roman" w:eastAsia="Times New Roman" w:hAnsi="Times New Roman" w:cs="Times New Roman"/>
          <w:spacing w:val="-2"/>
          <w:sz w:val="24"/>
          <w:szCs w:val="24"/>
          <w:lang w:val="es-ES_tradnl" w:eastAsia="es-ES"/>
        </w:rPr>
        <w:t xml:space="preserve"> de fines de siglo XIX y comienzos del XX, eran en su mayoría, inmigrantes. Las tácticas de moralización constituyeron sobre la población el   </w:t>
      </w:r>
      <w:r w:rsidRPr="006B1FEC">
        <w:rPr>
          <w:rFonts w:ascii="Times New Roman" w:eastAsia="Times New Roman" w:hAnsi="Times New Roman" w:cs="Times New Roman"/>
          <w:b/>
          <w:i/>
          <w:iCs/>
          <w:spacing w:val="-2"/>
          <w:sz w:val="24"/>
          <w:szCs w:val="24"/>
          <w:lang w:val="es-ES_tradnl" w:eastAsia="es-ES"/>
        </w:rPr>
        <w:t>dispositivo tecno-político de la medicina, articulado con el dispositivo criminológico</w:t>
      </w:r>
      <w:r w:rsidRPr="006B1FEC">
        <w:rPr>
          <w:rFonts w:ascii="Times New Roman" w:eastAsia="Times New Roman" w:hAnsi="Times New Roman" w:cs="Times New Roman"/>
          <w:b/>
          <w:spacing w:val="-2"/>
          <w:sz w:val="24"/>
          <w:szCs w:val="24"/>
          <w:lang w:val="es-ES_tradnl" w:eastAsia="es-ES"/>
        </w:rPr>
        <w:t>.</w:t>
      </w:r>
      <w:r w:rsidRPr="006B1FEC">
        <w:rPr>
          <w:rFonts w:ascii="Times New Roman" w:eastAsia="Times New Roman" w:hAnsi="Times New Roman" w:cs="Times New Roman"/>
          <w:spacing w:val="-2"/>
          <w:sz w:val="24"/>
          <w:szCs w:val="24"/>
          <w:lang w:val="es-ES_tradnl" w:eastAsia="es-ES"/>
        </w:rPr>
        <w:t xml:space="preserve"> </w:t>
      </w:r>
      <w:r w:rsidRPr="006B1FEC">
        <w:rPr>
          <w:rFonts w:ascii="Times New Roman" w:eastAsia="Times New Roman" w:hAnsi="Times New Roman" w:cs="Times New Roman"/>
          <w:i/>
          <w:iCs/>
          <w:spacing w:val="-2"/>
          <w:sz w:val="24"/>
          <w:szCs w:val="24"/>
          <w:lang w:val="es-ES_tradnl" w:eastAsia="es-ES"/>
        </w:rPr>
        <w:t xml:space="preserve"> </w:t>
      </w:r>
      <w:r w:rsidRPr="006B1FEC">
        <w:rPr>
          <w:rFonts w:ascii="Times New Roman" w:eastAsia="Times New Roman" w:hAnsi="Times New Roman" w:cs="Times New Roman"/>
          <w:iCs/>
          <w:spacing w:val="-2"/>
          <w:sz w:val="24"/>
          <w:szCs w:val="24"/>
          <w:lang w:val="es-ES_tradnl" w:eastAsia="es-ES"/>
        </w:rPr>
        <w:t>(Murillo, Susana; 2002: 175)</w:t>
      </w:r>
      <w:r w:rsidRPr="006B1FEC">
        <w:rPr>
          <w:rFonts w:ascii="Times New Roman" w:eastAsia="Times New Roman" w:hAnsi="Times New Roman" w:cs="Times New Roman"/>
          <w:spacing w:val="-2"/>
          <w:sz w:val="24"/>
          <w:szCs w:val="24"/>
          <w:lang w:val="es-ES_tradnl" w:eastAsia="es-ES"/>
        </w:rPr>
        <w:t xml:space="preserve"> </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i/>
          <w:iCs/>
          <w:spacing w:val="-2"/>
          <w:sz w:val="24"/>
          <w:szCs w:val="24"/>
          <w:lang w:val="es-ES_tradnl" w:eastAsia="es-ES"/>
        </w:rPr>
      </w:pPr>
      <w:r w:rsidRPr="006B1FEC">
        <w:rPr>
          <w:rFonts w:ascii="Times New Roman" w:eastAsia="Times New Roman" w:hAnsi="Times New Roman" w:cs="Times New Roman"/>
          <w:spacing w:val="-2"/>
          <w:sz w:val="24"/>
          <w:szCs w:val="24"/>
          <w:lang w:val="es-ES_tradnl" w:eastAsia="es-ES"/>
        </w:rPr>
        <w:t xml:space="preserve">Desde fines del siglo XIX, en </w:t>
      </w:r>
      <w:smartTag w:uri="urn:schemas-microsoft-com:office:smarttags" w:element="PersonName">
        <w:smartTagPr>
          <w:attr w:name="ProductID" w:val="la Argentina"/>
        </w:smartTagPr>
        <w:r w:rsidRPr="006B1FEC">
          <w:rPr>
            <w:rFonts w:ascii="Times New Roman" w:eastAsia="Times New Roman" w:hAnsi="Times New Roman" w:cs="Times New Roman"/>
            <w:spacing w:val="-2"/>
            <w:sz w:val="24"/>
            <w:szCs w:val="24"/>
            <w:lang w:val="es-ES_tradnl" w:eastAsia="es-ES"/>
          </w:rPr>
          <w:t>la Argentina</w:t>
        </w:r>
      </w:smartTag>
      <w:r w:rsidRPr="006B1FEC">
        <w:rPr>
          <w:rFonts w:ascii="Times New Roman" w:eastAsia="Times New Roman" w:hAnsi="Times New Roman" w:cs="Times New Roman"/>
          <w:spacing w:val="-2"/>
          <w:sz w:val="24"/>
          <w:szCs w:val="24"/>
          <w:lang w:val="es-ES_tradnl" w:eastAsia="es-ES"/>
        </w:rPr>
        <w:t xml:space="preserve">, sobre la base del pensamiento positivista, se construye una triple dimensión de política científico- social: a) de carácter discursivo: la producción de teorías, b) la formación de profesionales en las universidades y c) las prácticas institucionales. Los discursos alienista e higienista fueron centrales en esa triple dimensión. Ellos proporcionaron la matriz disciplinar del modelo correccional, el cual surge en el transcurso de una mutación del sistema punitivo que a partir de Lombroso tendió a la </w:t>
      </w:r>
      <w:r w:rsidRPr="006B1FEC">
        <w:rPr>
          <w:rFonts w:ascii="Times New Roman" w:eastAsia="Times New Roman" w:hAnsi="Times New Roman" w:cs="Times New Roman"/>
          <w:i/>
          <w:iCs/>
          <w:spacing w:val="-2"/>
          <w:sz w:val="24"/>
          <w:szCs w:val="24"/>
          <w:lang w:val="es-ES_tradnl" w:eastAsia="es-ES"/>
        </w:rPr>
        <w:t>individualización</w:t>
      </w:r>
      <w:r w:rsidRPr="006B1FEC">
        <w:rPr>
          <w:rFonts w:ascii="Times New Roman" w:eastAsia="Times New Roman" w:hAnsi="Times New Roman" w:cs="Times New Roman"/>
          <w:spacing w:val="-2"/>
          <w:sz w:val="24"/>
          <w:szCs w:val="24"/>
          <w:lang w:val="es-ES_tradnl" w:eastAsia="es-ES"/>
        </w:rPr>
        <w:t xml:space="preserve"> de la pena. La matriz teórica que posibilitó tal individuación, la produjo la ciencia médica, la cual, en base a parámetros de </w:t>
      </w:r>
      <w:r w:rsidRPr="006B1FEC">
        <w:rPr>
          <w:rFonts w:ascii="Times New Roman" w:eastAsia="Times New Roman" w:hAnsi="Times New Roman" w:cs="Times New Roman"/>
          <w:i/>
          <w:iCs/>
          <w:spacing w:val="-2"/>
          <w:sz w:val="24"/>
          <w:szCs w:val="24"/>
          <w:lang w:val="es-ES_tradnl" w:eastAsia="es-ES"/>
        </w:rPr>
        <w:t>normalidad</w:t>
      </w:r>
      <w:r w:rsidRPr="006B1FEC">
        <w:rPr>
          <w:rFonts w:ascii="Times New Roman" w:eastAsia="Times New Roman" w:hAnsi="Times New Roman" w:cs="Times New Roman"/>
          <w:spacing w:val="-2"/>
          <w:sz w:val="24"/>
          <w:szCs w:val="24"/>
          <w:lang w:val="es-ES_tradnl" w:eastAsia="es-ES"/>
        </w:rPr>
        <w:t xml:space="preserve">, posibilitó el diagnóstico exacto de los sujetos. Como consecuencia de ello, a quienes cayeron fuera de la media esperada, se trató, al menos en lo discursivo, de </w:t>
      </w:r>
      <w:r w:rsidRPr="006B1FEC">
        <w:rPr>
          <w:rFonts w:ascii="Times New Roman" w:eastAsia="Times New Roman" w:hAnsi="Times New Roman" w:cs="Times New Roman"/>
          <w:i/>
          <w:iCs/>
          <w:spacing w:val="-2"/>
          <w:sz w:val="24"/>
          <w:szCs w:val="24"/>
          <w:lang w:val="es-ES_tradnl" w:eastAsia="es-ES"/>
        </w:rPr>
        <w:t>regenerarlos</w:t>
      </w:r>
      <w:r w:rsidRPr="006B1FEC">
        <w:rPr>
          <w:rFonts w:ascii="Times New Roman" w:eastAsia="Times New Roman" w:hAnsi="Times New Roman" w:cs="Times New Roman"/>
          <w:spacing w:val="-2"/>
          <w:sz w:val="24"/>
          <w:szCs w:val="24"/>
          <w:lang w:val="es-ES_tradnl" w:eastAsia="es-ES"/>
        </w:rPr>
        <w:t xml:space="preserve">, de readaptarlos socialmente. El modelo </w:t>
      </w:r>
      <w:r w:rsidRPr="006B1FEC">
        <w:rPr>
          <w:rFonts w:ascii="Times New Roman" w:eastAsia="Times New Roman" w:hAnsi="Times New Roman" w:cs="Times New Roman"/>
          <w:i/>
          <w:iCs/>
          <w:spacing w:val="-2"/>
          <w:sz w:val="24"/>
          <w:szCs w:val="24"/>
          <w:lang w:val="es-ES_tradnl" w:eastAsia="es-ES"/>
        </w:rPr>
        <w:t>correccional</w:t>
      </w:r>
      <w:r w:rsidRPr="006B1FEC">
        <w:rPr>
          <w:rFonts w:ascii="Times New Roman" w:eastAsia="Times New Roman" w:hAnsi="Times New Roman" w:cs="Times New Roman"/>
          <w:spacing w:val="-2"/>
          <w:sz w:val="24"/>
          <w:szCs w:val="24"/>
          <w:lang w:val="es-ES_tradnl" w:eastAsia="es-ES"/>
        </w:rPr>
        <w:t xml:space="preserve"> usado en instituciones de encierro nace bajo ese designio, él supone un diagrama de poder que opera tratando de </w:t>
      </w:r>
      <w:r w:rsidRPr="006B1FEC">
        <w:rPr>
          <w:rFonts w:ascii="Times New Roman" w:eastAsia="Times New Roman" w:hAnsi="Times New Roman" w:cs="Times New Roman"/>
          <w:i/>
          <w:iCs/>
          <w:spacing w:val="-2"/>
          <w:sz w:val="24"/>
          <w:szCs w:val="24"/>
          <w:lang w:val="es-ES_tradnl" w:eastAsia="es-ES"/>
        </w:rPr>
        <w:t>incluir</w:t>
      </w:r>
      <w:r w:rsidRPr="006B1FEC">
        <w:rPr>
          <w:rFonts w:ascii="Times New Roman" w:eastAsia="Times New Roman" w:hAnsi="Times New Roman" w:cs="Times New Roman"/>
          <w:spacing w:val="-2"/>
          <w:sz w:val="24"/>
          <w:szCs w:val="24"/>
          <w:lang w:val="es-ES_tradnl" w:eastAsia="es-ES"/>
        </w:rPr>
        <w:t xml:space="preserve"> a los sujetos que por diversas razones han caído fuera del contrato social.</w:t>
      </w:r>
      <w:r w:rsidRPr="006B1FEC">
        <w:rPr>
          <w:rFonts w:ascii="Times New Roman" w:eastAsia="Times New Roman" w:hAnsi="Times New Roman" w:cs="Times New Roman"/>
          <w:i/>
          <w:iCs/>
          <w:spacing w:val="-2"/>
          <w:sz w:val="24"/>
          <w:szCs w:val="24"/>
          <w:lang w:val="es-ES_tradnl" w:eastAsia="es-ES"/>
        </w:rPr>
        <w:t xml:space="preserve"> </w:t>
      </w:r>
    </w:p>
    <w:p w:rsidR="006B1FEC" w:rsidRPr="006B1FEC" w:rsidRDefault="006B1FEC" w:rsidP="006E418E">
      <w:pPr>
        <w:tabs>
          <w:tab w:val="left" w:pos="-720"/>
        </w:tabs>
        <w:suppressAutoHyphens/>
        <w:spacing w:before="100" w:beforeAutospacing="1" w:after="120"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2"/>
          <w:sz w:val="24"/>
          <w:szCs w:val="24"/>
          <w:lang w:val="es-ES_tradnl" w:eastAsia="es-ES"/>
        </w:rPr>
        <w:t xml:space="preserve">Siguiendo a Murillo decimos que, en Argentina el modelo es elaborado, precisamente por un médico, José Ingenieros, cuya influencia a través de la dirección de los </w:t>
      </w:r>
      <w:r w:rsidRPr="006B1FEC">
        <w:rPr>
          <w:rFonts w:ascii="Times New Roman" w:eastAsia="Times New Roman" w:hAnsi="Times New Roman" w:cs="Times New Roman"/>
          <w:i/>
          <w:iCs/>
          <w:spacing w:val="-2"/>
          <w:sz w:val="24"/>
          <w:szCs w:val="24"/>
          <w:lang w:val="es-ES_tradnl" w:eastAsia="es-ES"/>
        </w:rPr>
        <w:t>Archivos de Psiquiatría y Criminología</w:t>
      </w:r>
      <w:r w:rsidRPr="006B1FEC">
        <w:rPr>
          <w:rFonts w:ascii="Times New Roman" w:eastAsia="Times New Roman" w:hAnsi="Times New Roman" w:cs="Times New Roman"/>
          <w:spacing w:val="-2"/>
          <w:sz w:val="24"/>
          <w:szCs w:val="24"/>
          <w:lang w:val="es-ES_tradnl" w:eastAsia="es-ES"/>
        </w:rPr>
        <w:t xml:space="preserve">, llegó hasta el Código Penal de 1921, en el cual ingresa, al menos en lo discursivo, el concepto de la pena vinculado al conocimiento de la peligrosidad social de un sujeto. </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2"/>
          <w:sz w:val="24"/>
          <w:szCs w:val="24"/>
          <w:lang w:val="es-ES_tradnl" w:eastAsia="es-ES"/>
        </w:rPr>
        <w:t>La propuesta positivista supone</w:t>
      </w:r>
      <w:r w:rsidRPr="006B1FEC">
        <w:rPr>
          <w:rFonts w:ascii="Times New Roman" w:eastAsia="Times New Roman" w:hAnsi="Times New Roman" w:cs="Times New Roman"/>
          <w:sz w:val="24"/>
          <w:szCs w:val="24"/>
          <w:lang w:val="es-ES" w:eastAsia="es-ES"/>
        </w:rPr>
        <w:t xml:space="preserve"> una Epistemología y una Ontología que coloca a </w:t>
      </w:r>
      <w:smartTag w:uri="urn:schemas-microsoft-com:office:smarttags" w:element="PersonName">
        <w:smartTagPr>
          <w:attr w:name="ProductID" w:val="la Ciencia"/>
        </w:smartTagPr>
        <w:r w:rsidRPr="006B1FEC">
          <w:rPr>
            <w:rFonts w:ascii="Times New Roman" w:eastAsia="Times New Roman" w:hAnsi="Times New Roman" w:cs="Times New Roman"/>
            <w:sz w:val="24"/>
            <w:szCs w:val="24"/>
            <w:lang w:val="es-ES" w:eastAsia="es-ES"/>
          </w:rPr>
          <w:t>la Ciencia</w:t>
        </w:r>
      </w:smartTag>
      <w:r w:rsidRPr="006B1FEC">
        <w:rPr>
          <w:rFonts w:ascii="Times New Roman" w:eastAsia="Times New Roman" w:hAnsi="Times New Roman" w:cs="Times New Roman"/>
          <w:sz w:val="24"/>
          <w:szCs w:val="24"/>
          <w:lang w:val="es-ES" w:eastAsia="es-ES"/>
        </w:rPr>
        <w:t xml:space="preserve"> en el lugar de la verdad. Ella permitirá conocer y reeducar al sujeto desviado, </w:t>
      </w:r>
      <w:smartTag w:uri="urn:schemas-microsoft-com:office:smarttags" w:element="PersonName">
        <w:smartTagPr>
          <w:attr w:name="ProductID" w:val="la Ciencia"/>
        </w:smartTagPr>
        <w:r w:rsidRPr="006B1FEC">
          <w:rPr>
            <w:rFonts w:ascii="Times New Roman" w:eastAsia="Times New Roman" w:hAnsi="Times New Roman" w:cs="Times New Roman"/>
            <w:sz w:val="24"/>
            <w:szCs w:val="24"/>
            <w:lang w:val="es-ES" w:eastAsia="es-ES"/>
          </w:rPr>
          <w:t>la Ciencia</w:t>
        </w:r>
      </w:smartTag>
      <w:r w:rsidRPr="006B1FEC">
        <w:rPr>
          <w:rFonts w:ascii="Times New Roman" w:eastAsia="Times New Roman" w:hAnsi="Times New Roman" w:cs="Times New Roman"/>
          <w:sz w:val="24"/>
          <w:szCs w:val="24"/>
          <w:lang w:val="es-ES" w:eastAsia="es-ES"/>
        </w:rPr>
        <w:t xml:space="preserve"> como la manifestación más avanzada del Progreso, posibilitará la perfectibilidad tanto moral como social del Hombre. Esto supone la concepción de que la esencia humana radica en su racionalidad y en su libertad. </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Decimos con la autora entonces que la “población”, el “yo” y el “cuerpo humano” como objetos de conocimiento científico, serán conquistas del positivismo decimonónico. Para conocerlos esta corriente teórica se valió en primer lugar de las herramientas de las ciencias naturales</w:t>
      </w:r>
      <w:r w:rsidRPr="006B1FEC">
        <w:rPr>
          <w:rFonts w:ascii="Times New Roman" w:eastAsia="Times New Roman" w:hAnsi="Times New Roman" w:cs="Times New Roman"/>
          <w:spacing w:val="-2"/>
          <w:sz w:val="24"/>
          <w:szCs w:val="24"/>
          <w:lang w:val="es-ES_tradnl" w:eastAsia="es-ES"/>
        </w:rPr>
        <w:t>.</w:t>
      </w:r>
      <w:r w:rsidRPr="006B1FEC">
        <w:rPr>
          <w:rFonts w:ascii="Times New Roman" w:eastAsia="Times New Roman" w:hAnsi="Times New Roman" w:cs="Times New Roman"/>
          <w:i/>
          <w:iCs/>
          <w:spacing w:val="-2"/>
          <w:sz w:val="24"/>
          <w:szCs w:val="24"/>
          <w:lang w:val="es-ES_tradnl" w:eastAsia="es-ES"/>
        </w:rPr>
        <w:t xml:space="preserve"> </w:t>
      </w:r>
      <w:r w:rsidRPr="006B1FEC">
        <w:rPr>
          <w:rFonts w:ascii="Times New Roman" w:eastAsia="Times New Roman" w:hAnsi="Times New Roman" w:cs="Times New Roman"/>
          <w:iCs/>
          <w:spacing w:val="-2"/>
          <w:sz w:val="24"/>
          <w:szCs w:val="24"/>
          <w:lang w:val="es-ES_tradnl" w:eastAsia="es-ES"/>
        </w:rPr>
        <w:t>(Murillo, Susana; 2002: 176/177)</w:t>
      </w:r>
      <w:r w:rsidRPr="006B1FEC">
        <w:rPr>
          <w:rFonts w:ascii="Times New Roman" w:eastAsia="Times New Roman" w:hAnsi="Times New Roman" w:cs="Times New Roman"/>
          <w:sz w:val="24"/>
          <w:szCs w:val="24"/>
          <w:lang w:val="es-ES" w:eastAsia="es-ES"/>
        </w:rPr>
        <w:t xml:space="preserve">.  </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Así, en primer término, el positivismo tomó como modelo científico a la física, luego a las ciencias biológicas, para arribar finalmente a una matriz de corte socio y psicogenético. </w:t>
      </w:r>
    </w:p>
    <w:p w:rsidR="006B1FEC" w:rsidRPr="006B1FEC" w:rsidRDefault="006B1FEC" w:rsidP="006E418E">
      <w:pPr>
        <w:tabs>
          <w:tab w:val="left" w:pos="0"/>
        </w:tabs>
        <w:suppressAutoHyphen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Desde el punto de vista teórico, la física bien pronto se mostró insuficiente para explicar los problemas sociales. Las ciencias de la vida, que se desarrollaban durante el siglo XIX, bajo el influjo de nombres como </w:t>
      </w:r>
      <w:r w:rsidRPr="006B1FEC">
        <w:rPr>
          <w:rFonts w:ascii="Times New Roman" w:eastAsia="Times New Roman" w:hAnsi="Times New Roman" w:cs="Times New Roman"/>
          <w:sz w:val="24"/>
          <w:szCs w:val="24"/>
          <w:lang w:val="es-ES" w:eastAsia="es-ES"/>
        </w:rPr>
        <w:lastRenderedPageBreak/>
        <w:t>Claude Bernard, Pasteur y Darwin, se mostraron poco a poco más aptas para explicar los problemas del Hombre en sociedad.</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La medicina vino a salvar la paradoja de que, siendo el contrato social, producto de individuos pactantes libres e iguales, en los hechos el Estado pueda usar la violencia contra algunos, que violan o no aceptan el pacto. La medicina, y particularmente dentro de ella, la </w:t>
      </w:r>
      <w:r w:rsidRPr="006B1FEC">
        <w:rPr>
          <w:rFonts w:ascii="Times New Roman" w:eastAsia="Times New Roman" w:hAnsi="Times New Roman" w:cs="Times New Roman"/>
          <w:i/>
          <w:iCs/>
          <w:sz w:val="24"/>
          <w:szCs w:val="24"/>
          <w:lang w:val="es-ES" w:eastAsia="es-ES"/>
        </w:rPr>
        <w:t>psiquiatría alienista</w:t>
      </w:r>
      <w:r w:rsidRPr="006B1FEC">
        <w:rPr>
          <w:rFonts w:ascii="Times New Roman" w:eastAsia="Times New Roman" w:hAnsi="Times New Roman" w:cs="Times New Roman"/>
          <w:sz w:val="24"/>
          <w:szCs w:val="24"/>
          <w:lang w:val="es-ES" w:eastAsia="es-ES"/>
        </w:rPr>
        <w:t xml:space="preserve"> unida al </w:t>
      </w:r>
      <w:r w:rsidRPr="006B1FEC">
        <w:rPr>
          <w:rFonts w:ascii="Times New Roman" w:eastAsia="Times New Roman" w:hAnsi="Times New Roman" w:cs="Times New Roman"/>
          <w:i/>
          <w:iCs/>
          <w:sz w:val="24"/>
          <w:szCs w:val="24"/>
          <w:lang w:val="es-ES" w:eastAsia="es-ES"/>
        </w:rPr>
        <w:t>higienismo</w:t>
      </w:r>
      <w:r w:rsidRPr="006B1FEC">
        <w:rPr>
          <w:rFonts w:ascii="Times New Roman" w:eastAsia="Times New Roman" w:hAnsi="Times New Roman" w:cs="Times New Roman"/>
          <w:sz w:val="24"/>
          <w:szCs w:val="24"/>
          <w:lang w:val="es-ES" w:eastAsia="es-ES"/>
        </w:rPr>
        <w:t xml:space="preserve">, mostrará que aun cuando el sujeto humano tiene una base física y temperamental que es inmodificable, el carácter y el medio social pueden ser cambiados. Ello dará lugar a la intervención cien tífica a través de planes de las políticas públicas.  </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Así, el médico se transforma en uno de los pilares básicos del Estado, en tanto él encarna una problemática inseparable: </w:t>
      </w:r>
      <w:r w:rsidRPr="006B1FEC">
        <w:rPr>
          <w:rFonts w:ascii="Times New Roman" w:eastAsia="Times New Roman" w:hAnsi="Times New Roman" w:cs="Times New Roman"/>
          <w:i/>
          <w:iCs/>
          <w:sz w:val="24"/>
          <w:szCs w:val="24"/>
          <w:lang w:val="es-ES" w:eastAsia="es-ES"/>
        </w:rPr>
        <w:t>médica y social.</w:t>
      </w:r>
      <w:r w:rsidRPr="006B1FEC">
        <w:rPr>
          <w:rFonts w:ascii="Times New Roman" w:eastAsia="Times New Roman" w:hAnsi="Times New Roman" w:cs="Times New Roman"/>
          <w:sz w:val="24"/>
          <w:szCs w:val="24"/>
          <w:lang w:val="es-ES" w:eastAsia="es-ES"/>
        </w:rPr>
        <w:t xml:space="preserve"> </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Junto a este prestigio médico emergerá, nos recuerda Murillo, el </w:t>
      </w:r>
      <w:r w:rsidRPr="006B1FEC">
        <w:rPr>
          <w:rFonts w:ascii="Times New Roman" w:eastAsia="Times New Roman" w:hAnsi="Times New Roman" w:cs="Times New Roman"/>
          <w:i/>
          <w:iCs/>
          <w:sz w:val="24"/>
          <w:szCs w:val="24"/>
          <w:lang w:val="es-ES" w:eastAsia="es-ES"/>
        </w:rPr>
        <w:t>valor del espacio</w:t>
      </w:r>
      <w:r w:rsidRPr="006B1FEC">
        <w:rPr>
          <w:rFonts w:ascii="Times New Roman" w:eastAsia="Times New Roman" w:hAnsi="Times New Roman" w:cs="Times New Roman"/>
          <w:sz w:val="24"/>
          <w:szCs w:val="24"/>
          <w:lang w:val="es-ES" w:eastAsia="es-ES"/>
        </w:rPr>
        <w:t xml:space="preserve"> como agente de ordenamiento social, no sólo el </w:t>
      </w:r>
      <w:r w:rsidRPr="006B1FEC">
        <w:rPr>
          <w:rFonts w:ascii="Times New Roman" w:eastAsia="Times New Roman" w:hAnsi="Times New Roman" w:cs="Times New Roman"/>
          <w:i/>
          <w:iCs/>
          <w:sz w:val="24"/>
          <w:szCs w:val="24"/>
          <w:lang w:val="es-ES" w:eastAsia="es-ES"/>
        </w:rPr>
        <w:t>espacio abierto</w:t>
      </w:r>
      <w:r w:rsidRPr="006B1FEC">
        <w:rPr>
          <w:rFonts w:ascii="Times New Roman" w:eastAsia="Times New Roman" w:hAnsi="Times New Roman" w:cs="Times New Roman"/>
          <w:sz w:val="24"/>
          <w:szCs w:val="24"/>
          <w:lang w:val="es-ES" w:eastAsia="es-ES"/>
        </w:rPr>
        <w:t xml:space="preserve"> del mercado y a partir de allí el valor del urbanismo, sino también el del </w:t>
      </w:r>
      <w:r w:rsidRPr="006B1FEC">
        <w:rPr>
          <w:rFonts w:ascii="Times New Roman" w:eastAsia="Times New Roman" w:hAnsi="Times New Roman" w:cs="Times New Roman"/>
          <w:i/>
          <w:iCs/>
          <w:sz w:val="24"/>
          <w:szCs w:val="24"/>
          <w:lang w:val="es-ES" w:eastAsia="es-ES"/>
        </w:rPr>
        <w:t>espacio cerrado</w:t>
      </w:r>
      <w:r w:rsidRPr="006B1FEC">
        <w:rPr>
          <w:rFonts w:ascii="Times New Roman" w:eastAsia="Times New Roman" w:hAnsi="Times New Roman" w:cs="Times New Roman"/>
          <w:sz w:val="24"/>
          <w:szCs w:val="24"/>
          <w:lang w:val="es-ES" w:eastAsia="es-ES"/>
        </w:rPr>
        <w:t xml:space="preserve">, al cual se le asignará valor </w:t>
      </w:r>
      <w:r w:rsidRPr="006B1FEC">
        <w:rPr>
          <w:rFonts w:ascii="Times New Roman" w:eastAsia="Times New Roman" w:hAnsi="Times New Roman" w:cs="Times New Roman"/>
          <w:i/>
          <w:iCs/>
          <w:sz w:val="24"/>
          <w:szCs w:val="24"/>
          <w:lang w:val="es-ES" w:eastAsia="es-ES"/>
        </w:rPr>
        <w:t>terapéutico</w:t>
      </w:r>
      <w:r w:rsidRPr="006B1FEC">
        <w:rPr>
          <w:rFonts w:ascii="Times New Roman" w:eastAsia="Times New Roman" w:hAnsi="Times New Roman" w:cs="Times New Roman"/>
          <w:sz w:val="24"/>
          <w:szCs w:val="24"/>
          <w:lang w:val="es-ES" w:eastAsia="es-ES"/>
        </w:rPr>
        <w:t xml:space="preserve">; asistimos así al nacimiento de hospitales especializados, prisiones y manicomios en el sentido moderno del término. En ellos la </w:t>
      </w:r>
      <w:r w:rsidRPr="006B1FEC">
        <w:rPr>
          <w:rFonts w:ascii="Times New Roman" w:eastAsia="Times New Roman" w:hAnsi="Times New Roman" w:cs="Times New Roman"/>
          <w:i/>
          <w:iCs/>
          <w:sz w:val="24"/>
          <w:szCs w:val="24"/>
          <w:lang w:val="es-ES" w:eastAsia="es-ES"/>
        </w:rPr>
        <w:t>clausura</w:t>
      </w:r>
      <w:r w:rsidRPr="006B1FEC">
        <w:rPr>
          <w:rFonts w:ascii="Times New Roman" w:eastAsia="Times New Roman" w:hAnsi="Times New Roman" w:cs="Times New Roman"/>
          <w:sz w:val="24"/>
          <w:szCs w:val="24"/>
          <w:lang w:val="es-ES" w:eastAsia="es-ES"/>
        </w:rPr>
        <w:t xml:space="preserve"> del espacio tiene carácter </w:t>
      </w:r>
      <w:r w:rsidRPr="006B1FEC">
        <w:rPr>
          <w:rFonts w:ascii="Times New Roman" w:eastAsia="Times New Roman" w:hAnsi="Times New Roman" w:cs="Times New Roman"/>
          <w:i/>
          <w:iCs/>
          <w:sz w:val="24"/>
          <w:szCs w:val="24"/>
          <w:lang w:val="es-ES" w:eastAsia="es-ES"/>
        </w:rPr>
        <w:t xml:space="preserve">instrumental. </w:t>
      </w:r>
      <w:r w:rsidRPr="006B1FEC">
        <w:rPr>
          <w:rFonts w:ascii="Times New Roman" w:eastAsia="Times New Roman" w:hAnsi="Times New Roman" w:cs="Times New Roman"/>
          <w:sz w:val="24"/>
          <w:szCs w:val="24"/>
          <w:lang w:val="es-ES" w:eastAsia="es-ES"/>
        </w:rPr>
        <w:t xml:space="preserve">En este contexto de la economía liberal y el contrato social, el enfermo, el contraventor, el criminal y el loco se transformaron en problemas sociales específicos: ellos dificultan por distintas razones el cumplimiento del pacto social, por ello serán paulatinamente incorporados en un espacio cerrado, cuyo carácter terapéutico posibilitará la </w:t>
      </w:r>
      <w:r w:rsidRPr="006B1FEC">
        <w:rPr>
          <w:rFonts w:ascii="Times New Roman" w:eastAsia="Times New Roman" w:hAnsi="Times New Roman" w:cs="Times New Roman"/>
          <w:i/>
          <w:iCs/>
          <w:sz w:val="24"/>
          <w:szCs w:val="24"/>
          <w:lang w:val="es-ES" w:eastAsia="es-ES"/>
        </w:rPr>
        <w:t>regeneración</w:t>
      </w:r>
      <w:r w:rsidRPr="006B1FEC">
        <w:rPr>
          <w:rFonts w:ascii="Times New Roman" w:eastAsia="Times New Roman" w:hAnsi="Times New Roman" w:cs="Times New Roman"/>
          <w:sz w:val="24"/>
          <w:szCs w:val="24"/>
          <w:lang w:val="es-ES" w:eastAsia="es-ES"/>
        </w:rPr>
        <w:t xml:space="preserve">. El prestigio científico de la medicina hará que se vea como razonable y justo el secuestro de ciertas personas en un contexto en que la libertad es vista como un atributo inalienable de los sujetos del pacto social y en la que el poder no debe operar de modo arbitrario. </w:t>
      </w:r>
      <w:r w:rsidRPr="006B1FEC">
        <w:rPr>
          <w:rFonts w:ascii="Times New Roman" w:eastAsia="Times New Roman" w:hAnsi="Times New Roman" w:cs="Times New Roman"/>
          <w:i/>
          <w:iCs/>
          <w:spacing w:val="-2"/>
          <w:sz w:val="24"/>
          <w:szCs w:val="24"/>
          <w:lang w:val="es-ES_tradnl" w:eastAsia="es-ES"/>
        </w:rPr>
        <w:t xml:space="preserve"> </w:t>
      </w:r>
      <w:r w:rsidRPr="006B1FEC">
        <w:rPr>
          <w:rFonts w:ascii="Times New Roman" w:eastAsia="Times New Roman" w:hAnsi="Times New Roman" w:cs="Times New Roman"/>
          <w:iCs/>
          <w:spacing w:val="-2"/>
          <w:sz w:val="24"/>
          <w:szCs w:val="24"/>
          <w:lang w:val="es-ES_tradnl" w:eastAsia="es-ES"/>
        </w:rPr>
        <w:t>(Murillo, Susana; 2002: 178/179)</w:t>
      </w:r>
    </w:p>
    <w:p w:rsidR="00B524D8" w:rsidRDefault="00B524D8" w:rsidP="006E418E">
      <w:pPr>
        <w:spacing w:before="100" w:beforeAutospacing="1" w:after="100" w:afterAutospacing="1" w:line="240" w:lineRule="auto"/>
        <w:jc w:val="both"/>
        <w:rPr>
          <w:rFonts w:ascii="Times New Roman" w:eastAsia="Times New Roman" w:hAnsi="Times New Roman" w:cs="Times New Roman"/>
          <w:b/>
          <w:sz w:val="24"/>
          <w:szCs w:val="24"/>
          <w:lang w:val="es-ES" w:eastAsia="es-ES"/>
        </w:rPr>
      </w:pP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b/>
          <w:sz w:val="24"/>
          <w:szCs w:val="24"/>
          <w:lang w:val="es-ES" w:eastAsia="es-ES"/>
        </w:rPr>
      </w:pPr>
      <w:r w:rsidRPr="006B1FEC">
        <w:rPr>
          <w:rFonts w:ascii="Times New Roman" w:eastAsia="Times New Roman" w:hAnsi="Times New Roman" w:cs="Times New Roman"/>
          <w:b/>
          <w:sz w:val="24"/>
          <w:szCs w:val="24"/>
          <w:lang w:val="es-ES" w:eastAsia="es-ES"/>
        </w:rPr>
        <w:t xml:space="preserve"> La emergencia de las instituciones de encierro en Argentina, el alienismo médico</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 w:eastAsia="es-ES"/>
        </w:rPr>
        <w:t xml:space="preserve">El alienismo, nacido en tiempos de </w:t>
      </w:r>
      <w:smartTag w:uri="urn:schemas-microsoft-com:office:smarttags" w:element="PersonName">
        <w:smartTagPr>
          <w:attr w:name="ProductID" w:val="la Revoluci￳n Francesa"/>
        </w:smartTagPr>
        <w:r w:rsidRPr="006B1FEC">
          <w:rPr>
            <w:rFonts w:ascii="Times New Roman" w:eastAsia="Times New Roman" w:hAnsi="Times New Roman" w:cs="Times New Roman"/>
            <w:sz w:val="24"/>
            <w:szCs w:val="24"/>
            <w:lang w:val="es-ES" w:eastAsia="es-ES"/>
          </w:rPr>
          <w:t>la Revolución Francesa</w:t>
        </w:r>
      </w:smartTag>
      <w:r w:rsidRPr="006B1FEC">
        <w:rPr>
          <w:rFonts w:ascii="Times New Roman" w:eastAsia="Times New Roman" w:hAnsi="Times New Roman" w:cs="Times New Roman"/>
          <w:sz w:val="24"/>
          <w:szCs w:val="24"/>
          <w:lang w:val="es-ES" w:eastAsia="es-ES"/>
        </w:rPr>
        <w:t xml:space="preserve">, se caracterizó por el desarrollo de una triple estrategia. 1) Una precisa distribución del espacio hospitalario en relación a su población y sus funciones. Ello implicó una cuadriculación del espacio del hospital en función de los grandes síndromes. 2) Una creciente clasificación de las enfermedades, particularmente las mentales. 3) El establecimiento de una relación particular entre el médico y el paciente, la cual consistió en el </w:t>
      </w:r>
      <w:r w:rsidRPr="006B1FEC">
        <w:rPr>
          <w:rFonts w:ascii="Times New Roman" w:eastAsia="Times New Roman" w:hAnsi="Times New Roman" w:cs="Times New Roman"/>
          <w:i/>
          <w:iCs/>
          <w:sz w:val="24"/>
          <w:szCs w:val="24"/>
          <w:lang w:val="es-ES" w:eastAsia="es-ES"/>
        </w:rPr>
        <w:t>tratamiento moral</w:t>
      </w:r>
      <w:r w:rsidRPr="006B1FEC">
        <w:rPr>
          <w:rFonts w:ascii="Times New Roman" w:eastAsia="Times New Roman" w:hAnsi="Times New Roman" w:cs="Times New Roman"/>
          <w:sz w:val="24"/>
          <w:szCs w:val="24"/>
          <w:lang w:val="es-ES" w:eastAsia="es-ES"/>
        </w:rPr>
        <w:t xml:space="preserve">. Para ello la tecnología alienista, planteó en primer lugar que era necesario </w:t>
      </w:r>
      <w:r w:rsidRPr="006B1FEC">
        <w:rPr>
          <w:rFonts w:ascii="Times New Roman" w:eastAsia="Times New Roman" w:hAnsi="Times New Roman" w:cs="Times New Roman"/>
          <w:i/>
          <w:iCs/>
          <w:sz w:val="24"/>
          <w:szCs w:val="24"/>
          <w:lang w:val="es-ES" w:eastAsia="es-ES"/>
        </w:rPr>
        <w:t>aislar</w:t>
      </w:r>
      <w:r w:rsidRPr="006B1FEC">
        <w:rPr>
          <w:rFonts w:ascii="Times New Roman" w:eastAsia="Times New Roman" w:hAnsi="Times New Roman" w:cs="Times New Roman"/>
          <w:sz w:val="24"/>
          <w:szCs w:val="24"/>
          <w:lang w:val="es-ES" w:eastAsia="es-ES"/>
        </w:rPr>
        <w:t xml:space="preserve"> al enfermo del mundo exterior. Una vez aislado el enfermo debía confinarse en un </w:t>
      </w:r>
      <w:r w:rsidRPr="006B1FEC">
        <w:rPr>
          <w:rFonts w:ascii="Times New Roman" w:eastAsia="Times New Roman" w:hAnsi="Times New Roman" w:cs="Times New Roman"/>
          <w:i/>
          <w:iCs/>
          <w:sz w:val="24"/>
          <w:szCs w:val="24"/>
          <w:lang w:val="es-ES" w:eastAsia="es-ES"/>
        </w:rPr>
        <w:t>orden asilar</w:t>
      </w:r>
      <w:r w:rsidRPr="006B1FEC">
        <w:rPr>
          <w:rFonts w:ascii="Times New Roman" w:eastAsia="Times New Roman" w:hAnsi="Times New Roman" w:cs="Times New Roman"/>
          <w:sz w:val="24"/>
          <w:szCs w:val="24"/>
          <w:lang w:val="es-ES" w:eastAsia="es-ES"/>
        </w:rPr>
        <w:t xml:space="preserve"> rigurosamente constituido en base a la disciplina, que articula una precisa distribución del espacio, con una completa utilización del tiempo y el establecimiento de una jerarquía dentro de una red de reglas inmutables. En ese orden asilar </w:t>
      </w:r>
      <w:r w:rsidRPr="006B1FEC">
        <w:rPr>
          <w:rFonts w:ascii="Times New Roman" w:eastAsia="Times New Roman" w:hAnsi="Times New Roman" w:cs="Times New Roman"/>
          <w:i/>
          <w:iCs/>
          <w:sz w:val="24"/>
          <w:szCs w:val="24"/>
          <w:lang w:val="es-ES" w:eastAsia="es-ES"/>
        </w:rPr>
        <w:t>la relación de autoridad</w:t>
      </w:r>
      <w:r w:rsidRPr="006B1FEC">
        <w:rPr>
          <w:rFonts w:ascii="Times New Roman" w:eastAsia="Times New Roman" w:hAnsi="Times New Roman" w:cs="Times New Roman"/>
          <w:sz w:val="24"/>
          <w:szCs w:val="24"/>
          <w:lang w:val="es-ES" w:eastAsia="es-ES"/>
        </w:rPr>
        <w:t xml:space="preserve"> entre el médico y el enfermo tendría un valor terapéutico, pues permitiría reconstruir en el aislamiento y por medio de la técnica llamada "tratamiento moral" el orden familiar externo que fue fallido y causó la enfermedad. Esta triple dirección de la tecnología alienista, surgió precisamente en los asilos de Francia, luego de la revolución, como una reivindicación de los hombres encerrados y sometidos a las arbitrariedades del Antiguo Régimen. El "tratamiento moral", se basó en el carácter de </w:t>
      </w:r>
      <w:r w:rsidRPr="006B1FEC">
        <w:rPr>
          <w:rFonts w:ascii="Times New Roman" w:eastAsia="Times New Roman" w:hAnsi="Times New Roman" w:cs="Times New Roman"/>
          <w:i/>
          <w:iCs/>
          <w:sz w:val="24"/>
          <w:szCs w:val="24"/>
          <w:lang w:val="es-ES" w:eastAsia="es-ES"/>
        </w:rPr>
        <w:t>libre</w:t>
      </w:r>
      <w:r w:rsidRPr="006B1FEC">
        <w:rPr>
          <w:rFonts w:ascii="Times New Roman" w:eastAsia="Times New Roman" w:hAnsi="Times New Roman" w:cs="Times New Roman"/>
          <w:sz w:val="24"/>
          <w:szCs w:val="24"/>
          <w:lang w:val="es-ES" w:eastAsia="es-ES"/>
        </w:rPr>
        <w:t xml:space="preserve">, que todo sujeto humano tenía por esencia, incluso el loco. Ese procedimiento será transferido al tratamiento en instituciones educativas, prisiones, depósitos de mendigos y contraventores, instituciones de menores, etc. Todo ello permitirá reprogramar al sujeto, reconstruirlo para el pacto social. Según Murillo, el alienismo progresa en momentos en que la fisiología y la psicología, también lo hacen, y su método es tomado de Condillac: el riguroso empirismo que tiene como objetivo eliminar toda metafísica a partir de la precisa observación de los síntomas. </w:t>
      </w:r>
      <w:r w:rsidRPr="006B1FEC">
        <w:rPr>
          <w:rFonts w:ascii="Times New Roman" w:eastAsia="Times New Roman" w:hAnsi="Times New Roman" w:cs="Times New Roman"/>
          <w:iCs/>
          <w:spacing w:val="-2"/>
          <w:sz w:val="24"/>
          <w:szCs w:val="24"/>
          <w:lang w:val="es-ES_tradnl" w:eastAsia="es-ES"/>
        </w:rPr>
        <w:t>(Murillo, Susana; 2002: 179/180)</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En Buenos Aires, las ideas alienistas, son conocidas desde principio de siglo XIX, pero se difunden luego de la caída de Rosas y particularmente después de 1880. En ese contexto se introduce un programa de reformas hospitalarias ya que Buenos Aires no alcanza para contener a los enfermos. Surgen así nuevos establecimientos manicomiales: son </w:t>
      </w:r>
      <w:smartTag w:uri="urn:schemas-microsoft-com:office:smarttags" w:element="PersonName">
        <w:smartTagPr>
          <w:attr w:name="ProductID" w:val="la Colonia"/>
        </w:smartTagPr>
        <w:r w:rsidRPr="006B1FEC">
          <w:rPr>
            <w:rFonts w:ascii="Times New Roman" w:eastAsia="Times New Roman" w:hAnsi="Times New Roman" w:cs="Times New Roman"/>
            <w:sz w:val="24"/>
            <w:szCs w:val="24"/>
            <w:lang w:val="es-ES_tradnl" w:eastAsia="es-ES"/>
          </w:rPr>
          <w:t>la Colonia</w:t>
        </w:r>
      </w:smartTag>
      <w:r w:rsidRPr="006B1FEC">
        <w:rPr>
          <w:rFonts w:ascii="Times New Roman" w:eastAsia="Times New Roman" w:hAnsi="Times New Roman" w:cs="Times New Roman"/>
          <w:sz w:val="24"/>
          <w:szCs w:val="24"/>
          <w:lang w:val="es-ES_tradnl" w:eastAsia="es-ES"/>
        </w:rPr>
        <w:t xml:space="preserve"> de Luján (1901) y la de Oliva (1914). Ambas, son organizadas de acuerdo al sistema de asilo colonia de puertas abiertas. También el asilo - colonia para delincuentes alienados "Melchor </w:t>
      </w:r>
      <w:r w:rsidRPr="006B1FEC">
        <w:rPr>
          <w:rFonts w:ascii="Times New Roman" w:eastAsia="Times New Roman" w:hAnsi="Times New Roman" w:cs="Times New Roman"/>
          <w:sz w:val="24"/>
          <w:szCs w:val="24"/>
          <w:lang w:val="es-ES_tradnl" w:eastAsia="es-ES"/>
        </w:rPr>
        <w:lastRenderedPageBreak/>
        <w:t>Romero", en la provincia de Buenos Aires. Según Murillo, todos ellos nacen, según indican los documentos consultados, como respuesta al hacinamiento de los enfermos.</w:t>
      </w:r>
      <w:r w:rsidRPr="006B1FEC">
        <w:rPr>
          <w:rFonts w:ascii="Times New Roman" w:eastAsia="Times New Roman" w:hAnsi="Times New Roman" w:cs="Times New Roman"/>
          <w:i/>
          <w:iCs/>
          <w:spacing w:val="-2"/>
          <w:sz w:val="24"/>
          <w:szCs w:val="24"/>
          <w:lang w:val="es-ES_tradnl" w:eastAsia="es-ES"/>
        </w:rPr>
        <w:t xml:space="preserve"> </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pacing w:val="-3"/>
          <w:sz w:val="24"/>
          <w:szCs w:val="24"/>
          <w:lang w:val="es-ES_tradnl" w:eastAsia="es-ES"/>
        </w:rPr>
        <w:t>De esta manera, el Patronato de Liberados fue creado en 1906; los asilos colonia para alienados y el asilo- colonia para alienados delincuentes "Melchor Romero"</w:t>
      </w:r>
      <w:r w:rsidRPr="006B1FEC">
        <w:rPr>
          <w:rFonts w:ascii="Times New Roman" w:eastAsia="Times New Roman" w:hAnsi="Times New Roman" w:cs="Times New Roman"/>
          <w:sz w:val="24"/>
          <w:szCs w:val="24"/>
          <w:lang w:val="es-ES_tradnl" w:eastAsia="es-ES"/>
        </w:rPr>
        <w:t xml:space="preserve"> en 1884, y el Servicio policial de observación de alienados creado en 1900. </w:t>
      </w:r>
      <w:r w:rsidRPr="006B1FEC">
        <w:rPr>
          <w:rFonts w:ascii="Times New Roman" w:eastAsia="Times New Roman" w:hAnsi="Times New Roman" w:cs="Times New Roman"/>
          <w:iCs/>
          <w:spacing w:val="-2"/>
          <w:sz w:val="24"/>
          <w:szCs w:val="24"/>
          <w:lang w:val="es-ES_tradnl" w:eastAsia="es-ES"/>
        </w:rPr>
        <w:t>(Murillo, Susana; 2002:181)</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Junto a Murillo, podríamos preguntarnos en qué medida el creciente aumento de pacientes en hospitales, estaba vinculado no sólo al aumento de población, sino además al concepto de </w:t>
      </w:r>
      <w:r w:rsidRPr="006B1FEC">
        <w:rPr>
          <w:rFonts w:ascii="Times New Roman" w:eastAsia="Times New Roman" w:hAnsi="Times New Roman" w:cs="Times New Roman"/>
          <w:b/>
          <w:bCs/>
          <w:i/>
          <w:iCs/>
          <w:sz w:val="24"/>
          <w:szCs w:val="24"/>
          <w:lang w:val="es-ES_tradnl" w:eastAsia="es-ES"/>
        </w:rPr>
        <w:t>defensa social</w:t>
      </w:r>
      <w:r w:rsidRPr="006B1FEC">
        <w:rPr>
          <w:rFonts w:ascii="Times New Roman" w:eastAsia="Times New Roman" w:hAnsi="Times New Roman" w:cs="Times New Roman"/>
          <w:sz w:val="24"/>
          <w:szCs w:val="24"/>
          <w:lang w:val="es-ES_tradnl" w:eastAsia="es-ES"/>
        </w:rPr>
        <w:t xml:space="preserve">, que imponía el aislamiento como medida terapéutica para una cantidad creciente de pacientes y que había transformado al tratamiento manicomial en matriz de otras disciplinas como el Derecho Penal. Dentro del mismo marco discursivo emergerán instituciones como </w:t>
      </w:r>
      <w:smartTag w:uri="urn:schemas-microsoft-com:office:smarttags" w:element="PersonName">
        <w:smartTagPr>
          <w:attr w:name="ProductID" w:val="la Penitenciar￭a"/>
        </w:smartTagPr>
        <w:r w:rsidRPr="006B1FEC">
          <w:rPr>
            <w:rFonts w:ascii="Times New Roman" w:eastAsia="Times New Roman" w:hAnsi="Times New Roman" w:cs="Times New Roman"/>
            <w:i/>
            <w:iCs/>
            <w:sz w:val="24"/>
            <w:szCs w:val="24"/>
            <w:lang w:val="es-ES_tradnl" w:eastAsia="es-ES"/>
          </w:rPr>
          <w:t>la Penitenciaría</w:t>
        </w:r>
      </w:smartTag>
      <w:r w:rsidRPr="006B1FEC">
        <w:rPr>
          <w:rFonts w:ascii="Times New Roman" w:eastAsia="Times New Roman" w:hAnsi="Times New Roman" w:cs="Times New Roman"/>
          <w:i/>
          <w:iCs/>
          <w:sz w:val="24"/>
          <w:szCs w:val="24"/>
          <w:lang w:val="es-ES_tradnl" w:eastAsia="es-ES"/>
        </w:rPr>
        <w:t xml:space="preserve"> nacional (1877), </w:t>
      </w:r>
      <w:r w:rsidRPr="006B1FEC">
        <w:rPr>
          <w:rFonts w:ascii="Times New Roman" w:eastAsia="Times New Roman" w:hAnsi="Times New Roman" w:cs="Times New Roman"/>
          <w:sz w:val="24"/>
          <w:szCs w:val="24"/>
          <w:lang w:val="es-ES_tradnl" w:eastAsia="es-ES"/>
        </w:rPr>
        <w:t xml:space="preserve">el </w:t>
      </w:r>
      <w:r w:rsidRPr="006B1FEC">
        <w:rPr>
          <w:rFonts w:ascii="Times New Roman" w:eastAsia="Times New Roman" w:hAnsi="Times New Roman" w:cs="Times New Roman"/>
          <w:i/>
          <w:iCs/>
          <w:sz w:val="24"/>
          <w:szCs w:val="24"/>
          <w:lang w:val="es-ES_tradnl" w:eastAsia="es-ES"/>
        </w:rPr>
        <w:t>Depósito de Observación de alienados</w:t>
      </w:r>
      <w:r w:rsidRPr="006B1FEC">
        <w:rPr>
          <w:rFonts w:ascii="Times New Roman" w:eastAsia="Times New Roman" w:hAnsi="Times New Roman" w:cs="Times New Roman"/>
          <w:sz w:val="24"/>
          <w:szCs w:val="24"/>
          <w:lang w:val="es-ES_tradnl" w:eastAsia="es-ES"/>
        </w:rPr>
        <w:t xml:space="preserve">, el </w:t>
      </w:r>
      <w:r w:rsidRPr="006B1FEC">
        <w:rPr>
          <w:rFonts w:ascii="Times New Roman" w:eastAsia="Times New Roman" w:hAnsi="Times New Roman" w:cs="Times New Roman"/>
          <w:i/>
          <w:iCs/>
          <w:sz w:val="24"/>
          <w:szCs w:val="24"/>
          <w:lang w:val="es-ES_tradnl" w:eastAsia="es-ES"/>
        </w:rPr>
        <w:t>Depósito de Contraventores</w:t>
      </w:r>
      <w:r w:rsidRPr="006B1FEC">
        <w:rPr>
          <w:rFonts w:ascii="Times New Roman" w:eastAsia="Times New Roman" w:hAnsi="Times New Roman" w:cs="Times New Roman"/>
          <w:sz w:val="24"/>
          <w:szCs w:val="24"/>
          <w:lang w:val="es-ES_tradnl" w:eastAsia="es-ES"/>
        </w:rPr>
        <w:t xml:space="preserve"> y e</w:t>
      </w:r>
      <w:r w:rsidRPr="006B1FEC">
        <w:rPr>
          <w:rFonts w:ascii="Times New Roman" w:eastAsia="Times New Roman" w:hAnsi="Times New Roman" w:cs="Times New Roman"/>
          <w:i/>
          <w:iCs/>
          <w:sz w:val="24"/>
          <w:szCs w:val="24"/>
          <w:lang w:val="es-ES_tradnl" w:eastAsia="es-ES"/>
        </w:rPr>
        <w:t>l Sifilocomio. E</w:t>
      </w:r>
      <w:r w:rsidRPr="006B1FEC">
        <w:rPr>
          <w:rFonts w:ascii="Times New Roman" w:eastAsia="Times New Roman" w:hAnsi="Times New Roman" w:cs="Times New Roman"/>
          <w:sz w:val="24"/>
          <w:szCs w:val="24"/>
          <w:lang w:val="es-ES_tradnl" w:eastAsia="es-ES"/>
        </w:rPr>
        <w:t xml:space="preserve">l </w:t>
      </w:r>
      <w:r w:rsidRPr="006B1FEC">
        <w:rPr>
          <w:rFonts w:ascii="Times New Roman" w:eastAsia="Times New Roman" w:hAnsi="Times New Roman" w:cs="Times New Roman"/>
          <w:i/>
          <w:iCs/>
          <w:sz w:val="24"/>
          <w:szCs w:val="24"/>
          <w:lang w:val="es-ES_tradnl" w:eastAsia="es-ES"/>
        </w:rPr>
        <w:t>aislamiento</w:t>
      </w:r>
      <w:r w:rsidRPr="006B1FEC">
        <w:rPr>
          <w:rFonts w:ascii="Times New Roman" w:eastAsia="Times New Roman" w:hAnsi="Times New Roman" w:cs="Times New Roman"/>
          <w:sz w:val="24"/>
          <w:szCs w:val="24"/>
          <w:lang w:val="es-ES_tradnl" w:eastAsia="es-ES"/>
        </w:rPr>
        <w:t xml:space="preserve"> era condición de cura, la </w:t>
      </w:r>
      <w:r w:rsidRPr="006B1FEC">
        <w:rPr>
          <w:rFonts w:ascii="Times New Roman" w:eastAsia="Times New Roman" w:hAnsi="Times New Roman" w:cs="Times New Roman"/>
          <w:i/>
          <w:iCs/>
          <w:sz w:val="24"/>
          <w:szCs w:val="24"/>
          <w:lang w:val="es-ES_tradnl" w:eastAsia="es-ES"/>
        </w:rPr>
        <w:t>internación por tiempo indeterminado</w:t>
      </w:r>
      <w:r w:rsidRPr="006B1FEC">
        <w:rPr>
          <w:rFonts w:ascii="Times New Roman" w:eastAsia="Times New Roman" w:hAnsi="Times New Roman" w:cs="Times New Roman"/>
          <w:sz w:val="24"/>
          <w:szCs w:val="24"/>
          <w:lang w:val="es-ES_tradnl" w:eastAsia="es-ES"/>
        </w:rPr>
        <w:t xml:space="preserve"> era el destino de los convalecientes; y el concepto de</w:t>
      </w:r>
      <w:r w:rsidRPr="006B1FEC">
        <w:rPr>
          <w:rFonts w:ascii="Times New Roman" w:eastAsia="Times New Roman" w:hAnsi="Times New Roman" w:cs="Times New Roman"/>
          <w:i/>
          <w:iCs/>
          <w:sz w:val="24"/>
          <w:szCs w:val="24"/>
          <w:lang w:val="es-ES_tradnl" w:eastAsia="es-ES"/>
        </w:rPr>
        <w:t xml:space="preserve"> tiempo indeterminado </w:t>
      </w:r>
      <w:r w:rsidRPr="006B1FEC">
        <w:rPr>
          <w:rFonts w:ascii="Times New Roman" w:eastAsia="Times New Roman" w:hAnsi="Times New Roman" w:cs="Times New Roman"/>
          <w:sz w:val="24"/>
          <w:szCs w:val="24"/>
          <w:lang w:val="es-ES_tradnl" w:eastAsia="es-ES"/>
        </w:rPr>
        <w:t xml:space="preserve">era una idea novedosa, ligada a la de </w:t>
      </w:r>
      <w:r w:rsidRPr="006B1FEC">
        <w:rPr>
          <w:rFonts w:ascii="Times New Roman" w:eastAsia="Times New Roman" w:hAnsi="Times New Roman" w:cs="Times New Roman"/>
          <w:i/>
          <w:iCs/>
          <w:sz w:val="24"/>
          <w:szCs w:val="24"/>
          <w:lang w:val="es-ES_tradnl" w:eastAsia="es-ES"/>
        </w:rPr>
        <w:t xml:space="preserve">corrección de la anormalidad.  </w:t>
      </w:r>
      <w:r w:rsidRPr="006B1FEC">
        <w:rPr>
          <w:rFonts w:ascii="Times New Roman" w:eastAsia="Times New Roman" w:hAnsi="Times New Roman" w:cs="Times New Roman"/>
          <w:sz w:val="24"/>
          <w:szCs w:val="24"/>
          <w:lang w:val="es-ES_tradnl" w:eastAsia="es-ES"/>
        </w:rPr>
        <w:t xml:space="preserve">La salida de la institución de "secuestración" </w:t>
      </w:r>
      <w:r w:rsidRPr="006B1FEC">
        <w:rPr>
          <w:rFonts w:ascii="Times New Roman" w:eastAsia="Times New Roman" w:hAnsi="Times New Roman" w:cs="Times New Roman"/>
          <w:sz w:val="24"/>
          <w:szCs w:val="24"/>
          <w:vertAlign w:val="superscript"/>
          <w:lang w:val="es-ES_tradnl" w:eastAsia="es-ES"/>
        </w:rPr>
        <w:footnoteReference w:id="2"/>
      </w:r>
      <w:r w:rsidRPr="006B1FEC">
        <w:rPr>
          <w:rFonts w:ascii="Times New Roman" w:eastAsia="Times New Roman" w:hAnsi="Times New Roman" w:cs="Times New Roman"/>
          <w:sz w:val="24"/>
          <w:szCs w:val="24"/>
          <w:lang w:val="es-ES_tradnl" w:eastAsia="es-ES"/>
        </w:rPr>
        <w:t xml:space="preserve"> se ligó al hecho de que los aparatos de observación determinasen la vuelta al estado de normalidad y a la eliminación de la peligrosidad social del sujeto (ya sea que se trate de un loco, un delincuente, un contraventor, un alcohólico, un deficiente mental, una prostituta sifilítica, un anarquista o cualquier otro sujeto peligroso para sí mismo o para los otros).  Cabe recordar que en una sociedad contractualista, son </w:t>
      </w:r>
      <w:r w:rsidRPr="006B1FEC">
        <w:rPr>
          <w:rFonts w:ascii="Times New Roman" w:eastAsia="Times New Roman" w:hAnsi="Times New Roman" w:cs="Times New Roman"/>
          <w:i/>
          <w:iCs/>
          <w:sz w:val="24"/>
          <w:szCs w:val="24"/>
          <w:lang w:val="es-ES_tradnl" w:eastAsia="es-ES"/>
        </w:rPr>
        <w:t>peligrosos</w:t>
      </w:r>
      <w:r w:rsidRPr="006B1FEC">
        <w:rPr>
          <w:rFonts w:ascii="Times New Roman" w:eastAsia="Times New Roman" w:hAnsi="Times New Roman" w:cs="Times New Roman"/>
          <w:sz w:val="24"/>
          <w:szCs w:val="24"/>
          <w:lang w:val="es-ES_tradnl" w:eastAsia="es-ES"/>
        </w:rPr>
        <w:t xml:space="preserve"> aquellos sujetos, que con o sin conciencia de ello, han violado el pacto y por ende han caído fuera de él. </w:t>
      </w:r>
      <w:r w:rsidRPr="006B1FEC">
        <w:rPr>
          <w:rFonts w:ascii="Times New Roman" w:eastAsia="Times New Roman" w:hAnsi="Times New Roman" w:cs="Times New Roman"/>
          <w:iCs/>
          <w:spacing w:val="-2"/>
          <w:sz w:val="24"/>
          <w:szCs w:val="24"/>
          <w:lang w:val="es-ES_tradnl" w:eastAsia="es-ES"/>
        </w:rPr>
        <w:t>(Murillo, Susana; 2002:182)</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b/>
          <w:bCs/>
          <w:spacing w:val="-3"/>
          <w:sz w:val="24"/>
          <w:szCs w:val="24"/>
          <w:lang w:val="es-ES_tradnl" w:eastAsia="es-ES"/>
        </w:rPr>
        <w:t>El discurso jurídico/criminológico. El modelo correccional. La influencia de la psiquiatría y la psicología en el Derecho</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sidRPr="006B1FEC">
        <w:rPr>
          <w:rFonts w:ascii="Times New Roman" w:eastAsia="Times New Roman" w:hAnsi="Times New Roman" w:cs="Times New Roman"/>
          <w:spacing w:val="-3"/>
          <w:sz w:val="24"/>
          <w:szCs w:val="24"/>
          <w:lang w:val="es-ES_tradnl" w:eastAsia="es-ES"/>
        </w:rPr>
        <w:t>  Según Murillo, hacia 1880 se organiza el estado argentino, basado en la idea liberal contractualista. Si en Argentina a mediados de siglo XIX el gaucho y el indio habían sido obstáculos peligrosos para el orden social y si el Estado había usado de modo predominante contra ellos la violencia, desde fines del siglo XIX, la población peligrosa fue vista en los medios inmigrantes, en tanto ellos fundaban las primeras organizaciones obreras que resistían al orden socioeconómico. Respecto de esta población, en el contexto del Estado liberal contractualista, comenzaron a trazarse estrategias jurídico - criminológicas de socialización y resocialización de los sujetos.</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3"/>
          <w:sz w:val="24"/>
          <w:szCs w:val="24"/>
          <w:lang w:val="es-ES_tradnl" w:eastAsia="es-ES"/>
        </w:rPr>
        <w:t xml:space="preserve">Es 1902, la fecha que señala la primera huelga general en Argentina. En 1905, Cornelio Moyano Gacitúa Profesor de Derecho Penal y Juez de </w:t>
      </w:r>
      <w:smartTag w:uri="urn:schemas-microsoft-com:office:smarttags" w:element="PersonName">
        <w:smartTagPr>
          <w:attr w:name="ProductID" w:val="la Suprema Corte"/>
        </w:smartTagPr>
        <w:r w:rsidRPr="006B1FEC">
          <w:rPr>
            <w:rFonts w:ascii="Times New Roman" w:eastAsia="Times New Roman" w:hAnsi="Times New Roman" w:cs="Times New Roman"/>
            <w:spacing w:val="-3"/>
            <w:sz w:val="24"/>
            <w:szCs w:val="24"/>
            <w:lang w:val="es-ES_tradnl" w:eastAsia="es-ES"/>
          </w:rPr>
          <w:t>la Suprema Corte</w:t>
        </w:r>
      </w:smartTag>
      <w:r w:rsidRPr="006B1FEC">
        <w:rPr>
          <w:rFonts w:ascii="Times New Roman" w:eastAsia="Times New Roman" w:hAnsi="Times New Roman" w:cs="Times New Roman"/>
          <w:spacing w:val="-3"/>
          <w:sz w:val="24"/>
          <w:szCs w:val="24"/>
          <w:lang w:val="es-ES_tradnl" w:eastAsia="es-ES"/>
        </w:rPr>
        <w:t xml:space="preserve">, escribe un texto llamado </w:t>
      </w:r>
      <w:r w:rsidRPr="006B1FEC">
        <w:rPr>
          <w:rFonts w:ascii="Times New Roman" w:eastAsia="Times New Roman" w:hAnsi="Times New Roman" w:cs="Times New Roman"/>
          <w:i/>
          <w:iCs/>
          <w:spacing w:val="-3"/>
          <w:sz w:val="24"/>
          <w:szCs w:val="24"/>
          <w:lang w:val="es-ES_tradnl" w:eastAsia="es-ES"/>
        </w:rPr>
        <w:t>La delincuencia argentina</w:t>
      </w:r>
      <w:r w:rsidRPr="006B1FEC">
        <w:rPr>
          <w:rFonts w:ascii="Times New Roman" w:eastAsia="Times New Roman" w:hAnsi="Times New Roman" w:cs="Times New Roman"/>
          <w:spacing w:val="-3"/>
          <w:sz w:val="24"/>
          <w:szCs w:val="24"/>
          <w:lang w:val="es-ES_tradnl" w:eastAsia="es-ES"/>
        </w:rPr>
        <w:t xml:space="preserve">; en el mismo, asimila el homicidio, la huelga y “los atentados al pudor”. En ese trabajo establece como causa central de estos crímenes, la aglomeración de inmigrantes en los centros urbanos. Este último concepto es un tópico común a los documentos de la época. </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sidRPr="006B1FEC">
        <w:rPr>
          <w:rFonts w:ascii="Times New Roman" w:eastAsia="Times New Roman" w:hAnsi="Times New Roman" w:cs="Times New Roman"/>
          <w:spacing w:val="-3"/>
          <w:sz w:val="24"/>
          <w:szCs w:val="24"/>
          <w:lang w:val="es-ES_tradnl" w:eastAsia="es-ES"/>
        </w:rPr>
        <w:t>Frente a los nuevos acontecimientos, el Derecho y la</w:t>
      </w:r>
      <w:r w:rsidRPr="006B1FEC">
        <w:rPr>
          <w:rFonts w:ascii="Times New Roman" w:eastAsia="Times New Roman" w:hAnsi="Times New Roman" w:cs="Times New Roman"/>
          <w:sz w:val="24"/>
          <w:szCs w:val="24"/>
          <w:lang w:val="es-ES_tradnl" w:eastAsia="es-ES"/>
        </w:rPr>
        <w:t xml:space="preserve"> criminología positivista, se vincularon</w:t>
      </w:r>
      <w:r w:rsidRPr="006B1FEC">
        <w:rPr>
          <w:rFonts w:ascii="Times New Roman" w:eastAsia="Times New Roman" w:hAnsi="Times New Roman" w:cs="Times New Roman"/>
          <w:b/>
          <w:bCs/>
          <w:sz w:val="24"/>
          <w:szCs w:val="24"/>
          <w:lang w:val="es-ES_tradnl" w:eastAsia="es-ES"/>
        </w:rPr>
        <w:t xml:space="preserve"> </w:t>
      </w:r>
      <w:r w:rsidRPr="006B1FEC">
        <w:rPr>
          <w:rFonts w:ascii="Times New Roman" w:eastAsia="Times New Roman" w:hAnsi="Times New Roman" w:cs="Times New Roman"/>
          <w:sz w:val="24"/>
          <w:szCs w:val="24"/>
          <w:lang w:val="es-ES_tradnl" w:eastAsia="es-ES"/>
        </w:rPr>
        <w:t>al</w:t>
      </w:r>
      <w:r w:rsidRPr="006B1FEC">
        <w:rPr>
          <w:rFonts w:ascii="Times New Roman" w:eastAsia="Times New Roman" w:hAnsi="Times New Roman" w:cs="Times New Roman"/>
          <w:b/>
          <w:bCs/>
          <w:sz w:val="24"/>
          <w:szCs w:val="24"/>
          <w:lang w:val="es-ES_tradnl" w:eastAsia="es-ES"/>
        </w:rPr>
        <w:t xml:space="preserve"> </w:t>
      </w:r>
      <w:r w:rsidRPr="006B1FEC">
        <w:rPr>
          <w:rFonts w:ascii="Times New Roman" w:eastAsia="Times New Roman" w:hAnsi="Times New Roman" w:cs="Times New Roman"/>
          <w:sz w:val="24"/>
          <w:szCs w:val="24"/>
          <w:lang w:val="es-ES_tradnl" w:eastAsia="es-ES"/>
        </w:rPr>
        <w:t>discurso y a las prácticas higienistas y alienistas que proveyeron técnicas de resocialización de los sujetos del pacto social.</w:t>
      </w:r>
      <w:r w:rsidRPr="006B1FEC">
        <w:rPr>
          <w:rFonts w:ascii="Times New Roman" w:eastAsia="Times New Roman" w:hAnsi="Times New Roman" w:cs="Times New Roman"/>
          <w:spacing w:val="-3"/>
          <w:sz w:val="24"/>
          <w:szCs w:val="24"/>
          <w:lang w:val="es-ES_tradnl" w:eastAsia="es-ES"/>
        </w:rPr>
        <w:t xml:space="preserve"> Como veíamos en las páginas anteriores, las </w:t>
      </w:r>
      <w:r w:rsidRPr="006B1FEC">
        <w:rPr>
          <w:rFonts w:ascii="Times New Roman" w:eastAsia="Times New Roman" w:hAnsi="Times New Roman" w:cs="Times New Roman"/>
          <w:i/>
          <w:iCs/>
          <w:spacing w:val="-3"/>
          <w:sz w:val="24"/>
          <w:szCs w:val="24"/>
          <w:lang w:val="es-ES_tradnl" w:eastAsia="es-ES"/>
        </w:rPr>
        <w:t>estrategias de moralización</w:t>
      </w:r>
      <w:r w:rsidRPr="006B1FEC">
        <w:rPr>
          <w:rFonts w:ascii="Times New Roman" w:eastAsia="Times New Roman" w:hAnsi="Times New Roman" w:cs="Times New Roman"/>
          <w:spacing w:val="-3"/>
          <w:sz w:val="24"/>
          <w:szCs w:val="24"/>
          <w:lang w:val="es-ES_tradnl" w:eastAsia="es-ES"/>
        </w:rPr>
        <w:t xml:space="preserve"> constituyeron sobre la población</w:t>
      </w:r>
      <w:r w:rsidRPr="006B1FEC">
        <w:rPr>
          <w:rFonts w:ascii="Times New Roman" w:eastAsia="Times New Roman" w:hAnsi="Times New Roman" w:cs="Times New Roman"/>
          <w:b/>
          <w:bCs/>
          <w:spacing w:val="-3"/>
          <w:sz w:val="24"/>
          <w:szCs w:val="24"/>
          <w:lang w:val="es-ES_tradnl" w:eastAsia="es-ES"/>
        </w:rPr>
        <w:t xml:space="preserve"> </w:t>
      </w:r>
      <w:r w:rsidRPr="006B1FEC">
        <w:rPr>
          <w:rFonts w:ascii="Times New Roman" w:eastAsia="Times New Roman" w:hAnsi="Times New Roman" w:cs="Times New Roman"/>
          <w:spacing w:val="-3"/>
          <w:sz w:val="24"/>
          <w:szCs w:val="24"/>
          <w:lang w:val="es-ES_tradnl" w:eastAsia="es-ES"/>
        </w:rPr>
        <w:t xml:space="preserve">el dispositivo tecno-político de la medicina, articulado con el dispositivo jurídico. </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3"/>
          <w:sz w:val="24"/>
          <w:szCs w:val="24"/>
          <w:lang w:val="es-ES_tradnl" w:eastAsia="es-ES"/>
        </w:rPr>
        <w:t xml:space="preserve">Así, Ingenieros propone un programa de criminología, que fue adoptado en Europa y que plantea tres momentos: etiología criminal, clínica criminológica y terapéutica criminal. La clínica, no trata de determinar la "responsabilidad", sino la "temibilidad" del delincuente. La </w:t>
      </w:r>
      <w:r w:rsidRPr="006B1FEC">
        <w:rPr>
          <w:rFonts w:ascii="Times New Roman" w:eastAsia="Times New Roman" w:hAnsi="Times New Roman" w:cs="Times New Roman"/>
          <w:i/>
          <w:iCs/>
          <w:spacing w:val="-3"/>
          <w:sz w:val="24"/>
          <w:szCs w:val="24"/>
          <w:lang w:val="es-ES_tradnl" w:eastAsia="es-ES"/>
        </w:rPr>
        <w:t>pena</w:t>
      </w:r>
      <w:r w:rsidRPr="006B1FEC">
        <w:rPr>
          <w:rFonts w:ascii="Times New Roman" w:eastAsia="Times New Roman" w:hAnsi="Times New Roman" w:cs="Times New Roman"/>
          <w:spacing w:val="-3"/>
          <w:sz w:val="24"/>
          <w:szCs w:val="24"/>
          <w:lang w:val="es-ES_tradnl" w:eastAsia="es-ES"/>
        </w:rPr>
        <w:t xml:space="preserve">, concebida como "terapéutica", no trata de "castigar", sino de asegurar la "defensa social" contra él, a través de actividades preventivas y a través del aislamiento en instituciones de distinto tipo según el grado de peligrosidad de los delincuentes. El objetivo final es la resocialización del sujeto que ha caído fuera del pacto social.  </w:t>
      </w:r>
      <w:r w:rsidRPr="006B1FEC">
        <w:rPr>
          <w:rFonts w:ascii="Times New Roman" w:eastAsia="Times New Roman" w:hAnsi="Times New Roman" w:cs="Times New Roman"/>
          <w:iCs/>
          <w:spacing w:val="-2"/>
          <w:sz w:val="24"/>
          <w:szCs w:val="24"/>
          <w:lang w:val="es-ES_tradnl" w:eastAsia="es-ES"/>
        </w:rPr>
        <w:t>(Murillo, Susana; 2002: 183/ 185)</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3"/>
          <w:sz w:val="24"/>
          <w:szCs w:val="24"/>
          <w:lang w:val="es-ES_tradnl" w:eastAsia="es-ES"/>
        </w:rPr>
        <w:t xml:space="preserve">Como parte de este programa de profilaxis social y prevención de la criminalidad, que sólo se realizó parcialmente, Ingenieros proponía: 1) legislación social que mejore la situación moral y material de las "clases menesterosas", pues la miseria es considerada causa fundamental del delito. 2) Profilaxis de la inmigración: una </w:t>
      </w:r>
      <w:r w:rsidRPr="006B1FEC">
        <w:rPr>
          <w:rFonts w:ascii="Times New Roman" w:eastAsia="Times New Roman" w:hAnsi="Times New Roman" w:cs="Times New Roman"/>
          <w:spacing w:val="-3"/>
          <w:sz w:val="24"/>
          <w:szCs w:val="24"/>
          <w:lang w:val="es-ES_tradnl" w:eastAsia="es-ES"/>
        </w:rPr>
        <w:lastRenderedPageBreak/>
        <w:t>verdadera cruzada racista contra los inmigrantes, pues les atribuye "bajos fondos degenerativos y antisociales". El patriciado argentino no estaba acostumbrado a las formas de resistencia social generadas por los inmigrantes europeos y vio, entonces en ellos lo que debía ser diagnosticado y curado o expulsado. 3) Educación social del niño, matriz del adulto normal sujeto del pacto social: aquí se percibe una inversión en los derechos y deberes; a partir de ahora, los deberes principales no son los del niño hacia el adulto, sino los de los padres hacia los hijos, pues aquéllos deben garantizar su salud moral. La educación es, en este sentido, una herramienta fundamental. Nacen así también, los institutos especiales para niños discapacitados moral, física o mentalmente. 4) La readaptación social de los malvivientes, esto es, de aquellos sujetos que han roto el pacto social. Ello ameritaba una exhaustiva clasificación de sus grados de temibilidad.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pacing w:val="-3"/>
          <w:sz w:val="24"/>
          <w:szCs w:val="24"/>
          <w:lang w:val="es-ES_tradnl" w:eastAsia="es-ES"/>
        </w:rPr>
        <w:t>; 2002: 198/199)</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pacing w:val="-3"/>
          <w:sz w:val="24"/>
          <w:szCs w:val="24"/>
          <w:lang w:val="es-ES_tradnl" w:eastAsia="es-ES"/>
        </w:rPr>
        <w:t xml:space="preserve">En las instituciones de </w:t>
      </w:r>
      <w:r w:rsidRPr="006B1FEC">
        <w:rPr>
          <w:rFonts w:ascii="Times New Roman" w:eastAsia="Times New Roman" w:hAnsi="Times New Roman" w:cs="Times New Roman"/>
          <w:i/>
          <w:iCs/>
          <w:spacing w:val="-3"/>
          <w:sz w:val="24"/>
          <w:szCs w:val="24"/>
          <w:lang w:val="es-ES_tradnl" w:eastAsia="es-ES"/>
        </w:rPr>
        <w:t>"secuestración",</w:t>
      </w:r>
      <w:r w:rsidRPr="006B1FEC">
        <w:rPr>
          <w:rFonts w:ascii="Times New Roman" w:eastAsia="Times New Roman" w:hAnsi="Times New Roman" w:cs="Times New Roman"/>
          <w:spacing w:val="-3"/>
          <w:sz w:val="24"/>
          <w:szCs w:val="24"/>
          <w:lang w:val="es-ES_tradnl" w:eastAsia="es-ES"/>
        </w:rPr>
        <w:t xml:space="preserve"> se recomienda la enseñanza agrrícola e industrial, siguiendo el modelo de las casas de trabajo de Filadelfia, las "State farm prisión". La readaptación de los delincuentes se logrará utilizando técnicas como la instrucción religiosa y moral, la educación intelectual y el trabajo físico. Todo ello debería dar al prisionero la oportunidad de ganarse la vida en el futuro. La idea era educarlo para que hiciese un buen uso de su libertad.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pacing w:val="-3"/>
          <w:sz w:val="24"/>
          <w:szCs w:val="24"/>
          <w:lang w:val="es-ES_tradnl" w:eastAsia="es-ES"/>
        </w:rPr>
        <w:t>; 2002:199)</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sidRPr="006B1FEC">
        <w:rPr>
          <w:rFonts w:ascii="Times New Roman" w:eastAsia="Times New Roman" w:hAnsi="Times New Roman" w:cs="Times New Roman"/>
          <w:sz w:val="24"/>
          <w:szCs w:val="24"/>
          <w:lang w:val="es-ES_tradnl" w:eastAsia="es-ES"/>
        </w:rPr>
        <w:t>Nacen de este modo en Argentina, los estudios acerca de psicopatología criminal.</w:t>
      </w:r>
      <w:r w:rsidRPr="006B1FEC">
        <w:rPr>
          <w:rFonts w:ascii="Times New Roman" w:eastAsia="Times New Roman" w:hAnsi="Times New Roman" w:cs="Times New Roman"/>
          <w:b/>
          <w:bCs/>
          <w:sz w:val="24"/>
          <w:szCs w:val="24"/>
          <w:lang w:val="es-ES_tradnl" w:eastAsia="es-ES"/>
        </w:rPr>
        <w:t xml:space="preserve"> </w:t>
      </w:r>
      <w:r w:rsidRPr="006B1FEC">
        <w:rPr>
          <w:rFonts w:ascii="Times New Roman" w:eastAsia="Times New Roman" w:hAnsi="Times New Roman" w:cs="Times New Roman"/>
          <w:sz w:val="24"/>
          <w:szCs w:val="24"/>
          <w:lang w:val="es-ES_tradnl" w:eastAsia="es-ES"/>
        </w:rPr>
        <w:t xml:space="preserve">En este campo sobresalen Ramos Mejía, Luis M. Drago y Osvaldo Magnasco. Juan Vucetich escribe obras sobre dactiloscopia y Ernesto Quesada sobre reincidencia. De Veyga inicia los estudios de psicopatología forense en Argentina e introduce los estudios de psiquiatría legal y antropología criminal. Se inician, en relación con ello los estudios sobre niños retardados. Algunos médicos desarrollan estudios sobre el cerebro y las funciones psíquicas. A partir de la creación de las cátedras de psiquiatría (1886) y neuropatología (1887), hasta 1919 se escriben 200 tesis psiquiátricas en </w:t>
      </w:r>
      <w:smartTag w:uri="urn:schemas-microsoft-com:office:smarttags" w:element="PersonName">
        <w:smartTagPr>
          <w:attr w:name="ProductID" w:val="la Universidad"/>
        </w:smartTagPr>
        <w:r w:rsidRPr="006B1FEC">
          <w:rPr>
            <w:rFonts w:ascii="Times New Roman" w:eastAsia="Times New Roman" w:hAnsi="Times New Roman" w:cs="Times New Roman"/>
            <w:sz w:val="24"/>
            <w:szCs w:val="24"/>
            <w:lang w:val="es-ES_tradnl" w:eastAsia="es-ES"/>
          </w:rPr>
          <w:t>la Universidad</w:t>
        </w:r>
      </w:smartTag>
      <w:r w:rsidRPr="006B1FEC">
        <w:rPr>
          <w:rFonts w:ascii="Times New Roman" w:eastAsia="Times New Roman" w:hAnsi="Times New Roman" w:cs="Times New Roman"/>
          <w:sz w:val="24"/>
          <w:szCs w:val="24"/>
          <w:lang w:val="es-ES_tradnl" w:eastAsia="es-ES"/>
        </w:rPr>
        <w:t xml:space="preserve"> de Buenos Aires (UBA). De esta manera, pueden inferirse las preocupaciones de la época, en ellas, la problemática de la psicopatología del criminal y el contraventor, es una de las temáticas centrales: la sífilis, la degeneración, el crimen, la simulación de la locura, la clinoterapia, los alienados delincuentes, las parálisis, la locura moral, los factores del delito, la degeneración y la delincuencia, el homicidio patológico, el peligro de la irresponsabilidad de los acusados.</w:t>
      </w:r>
      <w:r w:rsidRPr="006B1FEC">
        <w:rPr>
          <w:rFonts w:ascii="Times New Roman" w:eastAsia="Times New Roman" w:hAnsi="Times New Roman" w:cs="Times New Roman"/>
          <w:spacing w:val="-3"/>
          <w:sz w:val="24"/>
          <w:szCs w:val="24"/>
          <w:lang w:val="es-ES_tradnl" w:eastAsia="es-ES"/>
        </w:rPr>
        <w:t xml:space="preserve"> La psicopatología criminal hace sus aportes a la transformación del Derecho en su concepción del criminal, del delito y de la pena. De ese modo la pena, que en el Derecho Clásico era fija y proporcional al delito, pasa a ser </w:t>
      </w:r>
      <w:r w:rsidRPr="006B1FEC">
        <w:rPr>
          <w:rFonts w:ascii="Times New Roman" w:eastAsia="Times New Roman" w:hAnsi="Times New Roman" w:cs="Times New Roman"/>
          <w:i/>
          <w:iCs/>
          <w:spacing w:val="-3"/>
          <w:sz w:val="24"/>
          <w:szCs w:val="24"/>
          <w:lang w:val="es-ES_tradnl" w:eastAsia="es-ES"/>
        </w:rPr>
        <w:t>indeterminada y proporcional a la temibilidad</w:t>
      </w:r>
      <w:r w:rsidRPr="006B1FEC">
        <w:rPr>
          <w:rFonts w:ascii="Times New Roman" w:eastAsia="Times New Roman" w:hAnsi="Times New Roman" w:cs="Times New Roman"/>
          <w:spacing w:val="-3"/>
          <w:sz w:val="24"/>
          <w:szCs w:val="24"/>
          <w:lang w:val="es-ES_tradnl" w:eastAsia="es-ES"/>
        </w:rPr>
        <w:t xml:space="preserve"> de los delincuentes, se profundiza su</w:t>
      </w:r>
      <w:r w:rsidRPr="006B1FEC">
        <w:rPr>
          <w:rFonts w:ascii="Times New Roman" w:eastAsia="Times New Roman" w:hAnsi="Times New Roman" w:cs="Times New Roman"/>
          <w:i/>
          <w:iCs/>
          <w:spacing w:val="-3"/>
          <w:sz w:val="24"/>
          <w:szCs w:val="24"/>
          <w:lang w:val="es-ES_tradnl" w:eastAsia="es-ES"/>
        </w:rPr>
        <w:t xml:space="preserve"> individualización</w:t>
      </w:r>
      <w:r w:rsidRPr="006B1FEC">
        <w:rPr>
          <w:rFonts w:ascii="Times New Roman" w:eastAsia="Times New Roman" w:hAnsi="Times New Roman" w:cs="Times New Roman"/>
          <w:spacing w:val="-3"/>
          <w:sz w:val="24"/>
          <w:szCs w:val="24"/>
          <w:lang w:val="es-ES_tradnl" w:eastAsia="es-ES"/>
        </w:rPr>
        <w:t>. El Derecho de comienzos de siglo XX reemplaza la fórmula: "a tanto delito, tanta pena", por "a tanta temibilidad, tanta secuestración".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pacing w:val="-3"/>
          <w:sz w:val="24"/>
          <w:szCs w:val="24"/>
          <w:lang w:val="es-ES_tradnl" w:eastAsia="es-ES"/>
        </w:rPr>
        <w:t>; 2002: 185)</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sidRPr="006B1FEC">
        <w:rPr>
          <w:rFonts w:ascii="Times New Roman" w:eastAsia="Times New Roman" w:hAnsi="Times New Roman" w:cs="Times New Roman"/>
          <w:spacing w:val="-3"/>
          <w:sz w:val="24"/>
          <w:szCs w:val="24"/>
          <w:lang w:val="es-ES_tradnl" w:eastAsia="es-ES"/>
        </w:rPr>
        <w:t xml:space="preserve">Surge entonces, </w:t>
      </w:r>
      <w:r w:rsidRPr="006B1FEC">
        <w:rPr>
          <w:rFonts w:ascii="Times New Roman" w:eastAsia="Times New Roman" w:hAnsi="Times New Roman" w:cs="Times New Roman"/>
          <w:i/>
          <w:iCs/>
          <w:spacing w:val="-3"/>
          <w:sz w:val="24"/>
          <w:szCs w:val="24"/>
          <w:lang w:val="es-ES_tradnl" w:eastAsia="es-ES"/>
        </w:rPr>
        <w:t>el modelo correccional</w:t>
      </w:r>
      <w:r w:rsidRPr="006B1FEC">
        <w:rPr>
          <w:rFonts w:ascii="Times New Roman" w:eastAsia="Times New Roman" w:hAnsi="Times New Roman" w:cs="Times New Roman"/>
          <w:spacing w:val="-3"/>
          <w:sz w:val="24"/>
          <w:szCs w:val="24"/>
          <w:lang w:val="es-ES_tradnl" w:eastAsia="es-ES"/>
        </w:rPr>
        <w:t xml:space="preserve">.  En palabras de Murillo, su característica es que no ataca sólo al delito, el objeto privilegiado del interés pedagógico es la "forma de ser" del delincuente; la justicia se estructura como un continuo disciplinar que actúa a fin de prevenir la reincidencia. Como sostiene Murillo, la práctica del tratamiento penitenciario, en ese modelo, es copia del tratamiento psiquiátrico, tal como se desarrollaba en los manicomios: observación, diagnosis, diferenciación, personalización en la intervención terapéutico - rehabilitativa, la cual consiste en el uso del trabajo y la educación con fin terapéutico. El lenguaje criminológico se constituye sobre una </w:t>
      </w:r>
      <w:r w:rsidRPr="006B1FEC">
        <w:rPr>
          <w:rFonts w:ascii="Times New Roman" w:eastAsia="Times New Roman" w:hAnsi="Times New Roman" w:cs="Times New Roman"/>
          <w:i/>
          <w:iCs/>
          <w:spacing w:val="-3"/>
          <w:sz w:val="24"/>
          <w:szCs w:val="24"/>
          <w:lang w:val="es-ES_tradnl" w:eastAsia="es-ES"/>
        </w:rPr>
        <w:t>matriz médica;</w:t>
      </w:r>
      <w:r w:rsidRPr="006B1FEC">
        <w:rPr>
          <w:rFonts w:ascii="Times New Roman" w:eastAsia="Times New Roman" w:hAnsi="Times New Roman" w:cs="Times New Roman"/>
          <w:spacing w:val="-3"/>
          <w:sz w:val="24"/>
          <w:szCs w:val="24"/>
          <w:lang w:val="es-ES_tradnl" w:eastAsia="es-ES"/>
        </w:rPr>
        <w:t xml:space="preserve"> de esa manera el criminal será el "microbio", contra el cual la sociedad deberá desarrollar su "defensa", tratando de controlar los "focos".   </w:t>
      </w:r>
    </w:p>
    <w:p w:rsidR="006B1FEC" w:rsidRPr="006B1FEC" w:rsidRDefault="006B1FEC" w:rsidP="006E418E">
      <w:pPr>
        <w:tabs>
          <w:tab w:val="left" w:pos="0"/>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3"/>
          <w:sz w:val="24"/>
          <w:szCs w:val="24"/>
          <w:lang w:val="es-ES_tradnl" w:eastAsia="es-ES"/>
        </w:rPr>
        <w:t xml:space="preserve">Como se sostuvo anteriormente, en Argentina, poco después del nacimiento de </w:t>
      </w:r>
      <w:smartTag w:uri="urn:schemas-microsoft-com:office:smarttags" w:element="PersonName">
        <w:smartTagPr>
          <w:attr w:name="ProductID" w:val="la Penitenciar￭a Nacional"/>
        </w:smartTagPr>
        <w:r w:rsidRPr="006B1FEC">
          <w:rPr>
            <w:rFonts w:ascii="Times New Roman" w:eastAsia="Times New Roman" w:hAnsi="Times New Roman" w:cs="Times New Roman"/>
            <w:spacing w:val="-3"/>
            <w:sz w:val="24"/>
            <w:szCs w:val="24"/>
            <w:lang w:val="es-ES_tradnl" w:eastAsia="es-ES"/>
          </w:rPr>
          <w:t>la Penitenciaría Nacional</w:t>
        </w:r>
      </w:smartTag>
      <w:r w:rsidRPr="006B1FEC">
        <w:rPr>
          <w:rFonts w:ascii="Times New Roman" w:eastAsia="Times New Roman" w:hAnsi="Times New Roman" w:cs="Times New Roman"/>
          <w:spacing w:val="-3"/>
          <w:sz w:val="24"/>
          <w:szCs w:val="24"/>
          <w:lang w:val="es-ES_tradnl" w:eastAsia="es-ES"/>
        </w:rPr>
        <w:t xml:space="preserve"> en 1877, diseñada sobre el modelo correccional, nacen los primeros asilos colonia para alienados.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pacing w:val="-3"/>
          <w:sz w:val="24"/>
          <w:szCs w:val="24"/>
          <w:lang w:val="es-ES_tradnl" w:eastAsia="es-ES"/>
        </w:rPr>
        <w:t>; 2002: 186)</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Pr>
          <w:rFonts w:ascii="Times New Roman" w:eastAsia="Times New Roman" w:hAnsi="Times New Roman" w:cs="Times New Roman"/>
          <w:spacing w:val="-3"/>
          <w:sz w:val="24"/>
          <w:szCs w:val="24"/>
          <w:lang w:val="es-ES_tradnl" w:eastAsia="es-ES"/>
        </w:rPr>
        <w:t>***********************************************************************</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pacing w:val="-3"/>
          <w:sz w:val="24"/>
          <w:szCs w:val="24"/>
          <w:lang w:val="es-ES_tradnl" w:eastAsia="es-ES"/>
        </w:rPr>
      </w:pPr>
      <w:r>
        <w:rPr>
          <w:rFonts w:ascii="Times New Roman" w:eastAsia="Times New Roman" w:hAnsi="Times New Roman" w:cs="Times New Roman"/>
          <w:b/>
          <w:bCs/>
          <w:spacing w:val="-3"/>
          <w:sz w:val="24"/>
          <w:szCs w:val="24"/>
          <w:lang w:val="es-ES_tradnl" w:eastAsia="es-ES"/>
        </w:rPr>
        <w:t>L</w:t>
      </w:r>
      <w:r w:rsidRPr="006B1FEC">
        <w:rPr>
          <w:rFonts w:ascii="Times New Roman" w:eastAsia="Times New Roman" w:hAnsi="Times New Roman" w:cs="Times New Roman"/>
          <w:b/>
          <w:bCs/>
          <w:spacing w:val="-3"/>
          <w:sz w:val="24"/>
          <w:szCs w:val="24"/>
          <w:lang w:val="es-ES_tradnl" w:eastAsia="es-ES"/>
        </w:rPr>
        <w:t>os factores causales de delincuencia en el discurso criminológico</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pacing w:val="-3"/>
          <w:sz w:val="24"/>
          <w:szCs w:val="24"/>
          <w:lang w:val="es-ES_tradnl" w:eastAsia="es-ES"/>
        </w:rPr>
        <w:t xml:space="preserve">Como sostiene Murillo, el delincuente, como el loco son ejemplares </w:t>
      </w:r>
      <w:r w:rsidRPr="006B1FEC">
        <w:rPr>
          <w:rFonts w:ascii="Times New Roman" w:eastAsia="Times New Roman" w:hAnsi="Times New Roman" w:cs="Times New Roman"/>
          <w:i/>
          <w:iCs/>
          <w:spacing w:val="-3"/>
          <w:sz w:val="24"/>
          <w:szCs w:val="24"/>
          <w:lang w:val="es-ES_tradnl" w:eastAsia="es-ES"/>
        </w:rPr>
        <w:t>degenerados</w:t>
      </w:r>
      <w:r w:rsidRPr="006B1FEC">
        <w:rPr>
          <w:rFonts w:ascii="Times New Roman" w:eastAsia="Times New Roman" w:hAnsi="Times New Roman" w:cs="Times New Roman"/>
          <w:spacing w:val="-3"/>
          <w:sz w:val="24"/>
          <w:szCs w:val="24"/>
          <w:lang w:val="es-ES_tradnl" w:eastAsia="es-ES"/>
        </w:rPr>
        <w:t xml:space="preserve"> de la especie, individuos en los que el programa biológico se ha alterado, debido a diversos factores. En la consideración de ellos debe dejarse de lado toda explicación de carácter sobrenatural, correspondiente a la fase "animista" de la sociedad y se deben buscar causas justificadas desde el punto de vista científico. Así por ejemplo la idea del "monstruo humano" que </w:t>
      </w:r>
      <w:r w:rsidRPr="006B1FEC">
        <w:rPr>
          <w:rFonts w:ascii="Times New Roman" w:eastAsia="Times New Roman" w:hAnsi="Times New Roman" w:cs="Times New Roman"/>
          <w:spacing w:val="-3"/>
          <w:sz w:val="24"/>
          <w:szCs w:val="24"/>
          <w:lang w:val="es-ES_tradnl" w:eastAsia="es-ES"/>
        </w:rPr>
        <w:lastRenderedPageBreak/>
        <w:t xml:space="preserve">durante tanto tiempo había precedido las explicaciones de la criminalidad o la locura, debe ser reemplazada por la de "anormalidad" </w:t>
      </w:r>
      <w:r w:rsidRPr="006B1FEC">
        <w:rPr>
          <w:rFonts w:ascii="Times New Roman" w:eastAsia="Times New Roman" w:hAnsi="Times New Roman" w:cs="Times New Roman"/>
          <w:spacing w:val="-3"/>
          <w:sz w:val="24"/>
          <w:szCs w:val="24"/>
          <w:vertAlign w:val="superscript"/>
          <w:lang w:val="es-ES_tradnl" w:eastAsia="es-ES"/>
        </w:rPr>
        <w:footnoteReference w:id="3"/>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_tradnl" w:eastAsia="es-ES"/>
        </w:rPr>
        <w:t xml:space="preserve">Algunos positivistas colocan en primer lugar, como condición de criminalidad infantil a </w:t>
      </w:r>
      <w:smartTag w:uri="urn:schemas-microsoft-com:office:smarttags" w:element="PersonName">
        <w:smartTagPr>
          <w:attr w:name="ProductID" w:val="la Herencia"/>
        </w:smartTagPr>
        <w:r w:rsidRPr="006B1FEC">
          <w:rPr>
            <w:rFonts w:ascii="Times New Roman" w:eastAsia="Times New Roman" w:hAnsi="Times New Roman" w:cs="Times New Roman"/>
            <w:sz w:val="24"/>
            <w:szCs w:val="24"/>
            <w:lang w:val="es-ES_tradnl" w:eastAsia="es-ES"/>
          </w:rPr>
          <w:t xml:space="preserve">la </w:t>
        </w:r>
        <w:r w:rsidRPr="006B1FEC">
          <w:rPr>
            <w:rFonts w:ascii="Times New Roman" w:eastAsia="Times New Roman" w:hAnsi="Times New Roman" w:cs="Times New Roman"/>
            <w:i/>
            <w:iCs/>
            <w:sz w:val="24"/>
            <w:szCs w:val="24"/>
            <w:lang w:val="es-ES_tradnl" w:eastAsia="es-ES"/>
          </w:rPr>
          <w:t>Herencia</w:t>
        </w:r>
      </w:smartTag>
      <w:r w:rsidRPr="006B1FEC">
        <w:rPr>
          <w:rFonts w:ascii="Times New Roman" w:eastAsia="Times New Roman" w:hAnsi="Times New Roman" w:cs="Times New Roman"/>
          <w:i/>
          <w:iCs/>
          <w:sz w:val="24"/>
          <w:szCs w:val="24"/>
          <w:lang w:val="es-ES_tradnl" w:eastAsia="es-ES"/>
        </w:rPr>
        <w:t>, el temperamento y la raza</w:t>
      </w:r>
      <w:r w:rsidRPr="006B1FEC">
        <w:rPr>
          <w:rFonts w:ascii="Times New Roman" w:eastAsia="Times New Roman" w:hAnsi="Times New Roman" w:cs="Times New Roman"/>
          <w:sz w:val="24"/>
          <w:szCs w:val="24"/>
          <w:lang w:val="es-ES_tradnl" w:eastAsia="es-ES"/>
        </w:rPr>
        <w:t xml:space="preserve"> </w:t>
      </w:r>
      <w:r w:rsidRPr="006B1FEC">
        <w:rPr>
          <w:rFonts w:ascii="Times New Roman" w:eastAsia="Times New Roman" w:hAnsi="Times New Roman" w:cs="Times New Roman"/>
          <w:sz w:val="24"/>
          <w:szCs w:val="24"/>
          <w:vertAlign w:val="superscript"/>
          <w:lang w:val="es-ES_tradnl" w:eastAsia="es-ES"/>
        </w:rPr>
        <w:footnoteReference w:id="4"/>
      </w:r>
      <w:r w:rsidRPr="006B1FEC">
        <w:rPr>
          <w:rFonts w:ascii="Times New Roman" w:eastAsia="Times New Roman" w:hAnsi="Times New Roman" w:cs="Times New Roman"/>
          <w:sz w:val="24"/>
          <w:szCs w:val="24"/>
          <w:lang w:val="es-ES_tradnl" w:eastAsia="es-ES"/>
        </w:rPr>
        <w:t xml:space="preserve">. </w:t>
      </w:r>
      <w:r w:rsidRPr="006B1FEC">
        <w:rPr>
          <w:rFonts w:ascii="Times New Roman" w:eastAsia="Times New Roman" w:hAnsi="Times New Roman" w:cs="Times New Roman"/>
          <w:spacing w:val="-3"/>
          <w:sz w:val="24"/>
          <w:szCs w:val="24"/>
          <w:lang w:val="es-ES_tradnl" w:eastAsia="es-ES"/>
        </w:rPr>
        <w:t>E</w:t>
      </w:r>
      <w:r w:rsidRPr="006B1FEC">
        <w:rPr>
          <w:rFonts w:ascii="Times New Roman" w:eastAsia="Times New Roman" w:hAnsi="Times New Roman" w:cs="Times New Roman"/>
          <w:sz w:val="24"/>
          <w:szCs w:val="24"/>
          <w:lang w:val="es-ES_tradnl" w:eastAsia="es-ES"/>
        </w:rPr>
        <w:t>s frecuente encontrar en diversos Censos y Memorias, cuadros que vinculan los índices de criminalidad y raza. Los niños son observados en la cárcel, a fin de determinar cuáles son los "factores" que pueden haberlos llevado a caer en la delincuencia. El discurso señala como causas de delito a:  "estigmas atávicos", "factor antropológico", "espíritu de raza"</w:t>
      </w:r>
      <w:r w:rsidRPr="006B1FEC">
        <w:rPr>
          <w:rFonts w:ascii="Times New Roman" w:eastAsia="Times New Roman" w:hAnsi="Times New Roman" w:cs="Times New Roman"/>
          <w:sz w:val="24"/>
          <w:szCs w:val="24"/>
          <w:vertAlign w:val="superscript"/>
          <w:lang w:val="es-ES_tradnl" w:eastAsia="es-ES"/>
        </w:rPr>
        <w:footnoteReference w:id="5"/>
      </w:r>
      <w:r w:rsidRPr="006B1FEC">
        <w:rPr>
          <w:rFonts w:ascii="Times New Roman" w:eastAsia="Times New Roman" w:hAnsi="Times New Roman" w:cs="Times New Roman"/>
          <w:sz w:val="24"/>
          <w:szCs w:val="24"/>
          <w:lang w:val="es-ES_tradnl" w:eastAsia="es-ES"/>
        </w:rPr>
        <w:t>. Estas son determinantes que ponen el acento en el carácter fatalista del delito y no dejan espacio para la consideración de la libertad humana. No serían entonces sujetos libres.</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6B1FEC">
        <w:rPr>
          <w:rFonts w:ascii="Times New Roman" w:eastAsia="Times New Roman" w:hAnsi="Times New Roman" w:cs="Times New Roman"/>
          <w:sz w:val="24"/>
          <w:szCs w:val="24"/>
          <w:lang w:val="es-ES_tradnl" w:eastAsia="es-ES"/>
        </w:rPr>
        <w:t xml:space="preserve">No obstante, el determinismo no es hegemónico en las explicaciones del positivismo criminológico. Como sostiene la autora, el positivismo argentino fue una estrategia discursiva al servicio del control social, pero comprendido bajo una óptica en la que los grupos humanos eran modificables en el sentido de un “mejoramiento de la raza” y para ello las condiciones de vida a nivel social debían ser mejoradas. Siguiendo a Murillo decimos que ello suponía abandonar o al menos criticar el exclusivismo de las concepciones hereditarias de carácter fatalista en la generación de los fenómenos delictivos y de la locura. Y esto implicaba también, seguir sosteniendo el factor racial como determinante de fenómenos anormales, que la especie y su evolución estaban determinados también por influencias sociales y/o ambientales. Dicho de otro modo, ello implicaba que la </w:t>
      </w:r>
      <w:r w:rsidRPr="006B1FEC">
        <w:rPr>
          <w:rFonts w:ascii="Times New Roman" w:eastAsia="Times New Roman" w:hAnsi="Times New Roman" w:cs="Times New Roman"/>
          <w:i/>
          <w:iCs/>
          <w:sz w:val="24"/>
          <w:szCs w:val="24"/>
          <w:lang w:val="es-ES_tradnl" w:eastAsia="es-ES"/>
        </w:rPr>
        <w:t>influencia del medio, era también hereditaria</w:t>
      </w:r>
      <w:r w:rsidRPr="006B1FEC">
        <w:rPr>
          <w:rFonts w:ascii="Times New Roman" w:eastAsia="Times New Roman" w:hAnsi="Times New Roman" w:cs="Times New Roman"/>
          <w:sz w:val="24"/>
          <w:szCs w:val="24"/>
          <w:lang w:val="es-ES_tradnl" w:eastAsia="es-ES"/>
        </w:rPr>
        <w:t xml:space="preserve">. En relación con esto fue una característica del positivismo argentino, hacer una lectura Lamarckiana de Darwin, poniendo el acento en el Darwin de </w:t>
      </w:r>
      <w:r w:rsidRPr="006B1FEC">
        <w:rPr>
          <w:rFonts w:ascii="Times New Roman" w:eastAsia="Times New Roman" w:hAnsi="Times New Roman" w:cs="Times New Roman"/>
          <w:i/>
          <w:iCs/>
          <w:sz w:val="24"/>
          <w:szCs w:val="24"/>
          <w:lang w:val="es-ES_tradnl" w:eastAsia="es-ES"/>
        </w:rPr>
        <w:t>El origen del Hombre</w:t>
      </w:r>
      <w:r w:rsidRPr="006B1FEC">
        <w:rPr>
          <w:rFonts w:ascii="Times New Roman" w:eastAsia="Times New Roman" w:hAnsi="Times New Roman" w:cs="Times New Roman"/>
          <w:sz w:val="24"/>
          <w:szCs w:val="24"/>
          <w:lang w:val="es-ES_tradnl" w:eastAsia="es-ES"/>
        </w:rPr>
        <w:t xml:space="preserve">, obra posterior a </w:t>
      </w:r>
      <w:r w:rsidRPr="006B1FEC">
        <w:rPr>
          <w:rFonts w:ascii="Times New Roman" w:eastAsia="Times New Roman" w:hAnsi="Times New Roman" w:cs="Times New Roman"/>
          <w:i/>
          <w:iCs/>
          <w:sz w:val="24"/>
          <w:szCs w:val="24"/>
          <w:lang w:val="es-ES_tradnl" w:eastAsia="es-ES"/>
        </w:rPr>
        <w:t xml:space="preserve">El Origen de las Especies, </w:t>
      </w:r>
      <w:r w:rsidRPr="006B1FEC">
        <w:rPr>
          <w:rFonts w:ascii="Times New Roman" w:eastAsia="Times New Roman" w:hAnsi="Times New Roman" w:cs="Times New Roman"/>
          <w:sz w:val="24"/>
          <w:szCs w:val="24"/>
          <w:lang w:val="es-ES_tradnl" w:eastAsia="es-ES"/>
        </w:rPr>
        <w:t>que retomaba el concepto de Lamarck acerca de la influencia de los caracteres adquiridos en la evolución, a diferencia de la primera obra que lo había negado y había puesto el acento en el azar.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z w:val="24"/>
          <w:szCs w:val="24"/>
          <w:lang w:val="es-ES_tradnl" w:eastAsia="es-ES"/>
        </w:rPr>
        <w:t>; 2002: 189/190)</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En relación a lo anterior el clima y el ambiente físico, tópicos comunes al higienismo de la época, también fueron considerados factores criminológicos. Por ejemplo, se solía pensar que en las zonas cálidas el delito era mayor. "Una región de clima caliente debilita el sistema nervioso, excita las pasiones e impide la manifestación intensiva de los centros inhibitorios que pudieran evitar la explosión instantánea calificada comúnmente de </w:t>
      </w:r>
      <w:r w:rsidRPr="006B1FEC">
        <w:rPr>
          <w:rFonts w:ascii="Times New Roman" w:eastAsia="Times New Roman" w:hAnsi="Times New Roman" w:cs="Times New Roman"/>
          <w:i/>
          <w:iCs/>
          <w:sz w:val="24"/>
          <w:szCs w:val="24"/>
          <w:lang w:val="es-ES_tradnl" w:eastAsia="es-ES"/>
        </w:rPr>
        <w:t>acto irreflexivo (...)".</w:t>
      </w:r>
      <w:r w:rsidRPr="006B1FEC">
        <w:rPr>
          <w:rFonts w:ascii="Times New Roman" w:eastAsia="Times New Roman" w:hAnsi="Times New Roman" w:cs="Times New Roman"/>
          <w:sz w:val="24"/>
          <w:szCs w:val="24"/>
          <w:lang w:val="es-ES_tradnl" w:eastAsia="es-ES"/>
        </w:rPr>
        <w:t xml:space="preserve"> "En todo el mundo- y Buenos Aires no transgrede esa ley- el verano (...) se caracteriza por un aumento de la delincuencia de sangre"</w:t>
      </w:r>
      <w:r w:rsidRPr="006B1FEC">
        <w:rPr>
          <w:rFonts w:ascii="Times New Roman" w:eastAsia="Times New Roman" w:hAnsi="Times New Roman" w:cs="Times New Roman"/>
          <w:sz w:val="24"/>
          <w:szCs w:val="24"/>
          <w:vertAlign w:val="superscript"/>
          <w:lang w:val="es-ES_tradnl" w:eastAsia="es-ES"/>
        </w:rPr>
        <w:footnoteReference w:id="6"/>
      </w:r>
      <w:r w:rsidRPr="006B1FEC">
        <w:rPr>
          <w:rFonts w:ascii="Times New Roman" w:eastAsia="Times New Roman" w:hAnsi="Times New Roman" w:cs="Times New Roman"/>
          <w:sz w:val="24"/>
          <w:szCs w:val="24"/>
          <w:lang w:val="es-ES_tradnl" w:eastAsia="es-ES"/>
        </w:rPr>
        <w:t xml:space="preserve">. </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No obstante, poco a poco se evidencia, según la autora, en los documentos, que la tesis de los factores ambientales, es también insuficiente para explicar las causas del delito. En realidad, una estrategia discursiva que pusiese el acento en la degeneración como un hecho fatalmente determinado a nivel biológico o climático, en última instancia era contradictoria con la idea de progreso y libertad de los sujetos pactantes, por otra parte no permitía, ideológicamente, justificar la hegemonía de la élite gobernante, sino que más bien podría abonar la tesis de la necesidad de su eliminación. El marco teórico del darwinismo coloca al delito ante todo como un hecho biológico, que tiene como primera condición a los seres vivientes. Este concepto es tomado de Lombroso, Ferri, Letourneau, Espinas, Lubbock. No obstante, Moyano Gacitúa </w:t>
      </w:r>
      <w:r w:rsidRPr="006B1FEC">
        <w:rPr>
          <w:rFonts w:ascii="Times New Roman" w:eastAsia="Times New Roman" w:hAnsi="Times New Roman" w:cs="Times New Roman"/>
          <w:sz w:val="24"/>
          <w:szCs w:val="24"/>
          <w:vertAlign w:val="superscript"/>
          <w:lang w:val="es-ES_tradnl" w:eastAsia="es-ES"/>
        </w:rPr>
        <w:footnoteReference w:id="7"/>
      </w:r>
      <w:r w:rsidRPr="006B1FEC">
        <w:rPr>
          <w:rFonts w:ascii="Times New Roman" w:eastAsia="Times New Roman" w:hAnsi="Times New Roman" w:cs="Times New Roman"/>
          <w:sz w:val="24"/>
          <w:szCs w:val="24"/>
          <w:lang w:val="es-ES_tradnl" w:eastAsia="es-ES"/>
        </w:rPr>
        <w:t xml:space="preserve">  sostiene que tal idea no alcanza para comprender el fenómeno en el hombre. Por ejemplo, en la naturaleza sólo las categorías </w:t>
      </w:r>
      <w:r w:rsidRPr="006B1FEC">
        <w:rPr>
          <w:rFonts w:ascii="Times New Roman" w:eastAsia="Times New Roman" w:hAnsi="Times New Roman" w:cs="Times New Roman"/>
          <w:i/>
          <w:iCs/>
          <w:sz w:val="24"/>
          <w:szCs w:val="24"/>
          <w:lang w:val="es-ES_tradnl" w:eastAsia="es-ES"/>
        </w:rPr>
        <w:t>fisiológicas permiten explicar la convivencia y el desorden entre las abejas o los grillos</w:t>
      </w:r>
      <w:r w:rsidRPr="006B1FEC">
        <w:rPr>
          <w:rFonts w:ascii="Times New Roman" w:eastAsia="Times New Roman" w:hAnsi="Times New Roman" w:cs="Times New Roman"/>
          <w:i/>
          <w:iCs/>
          <w:sz w:val="24"/>
          <w:szCs w:val="24"/>
          <w:vertAlign w:val="superscript"/>
          <w:lang w:val="es-ES_tradnl" w:eastAsia="es-ES"/>
        </w:rPr>
        <w:footnoteReference w:id="8"/>
      </w:r>
      <w:r w:rsidRPr="006B1FEC">
        <w:rPr>
          <w:rFonts w:ascii="Times New Roman" w:eastAsia="Times New Roman" w:hAnsi="Times New Roman" w:cs="Times New Roman"/>
          <w:i/>
          <w:iCs/>
          <w:sz w:val="24"/>
          <w:szCs w:val="24"/>
          <w:lang w:val="es-ES_tradnl" w:eastAsia="es-ES"/>
        </w:rPr>
        <w:t>.</w:t>
      </w:r>
      <w:r w:rsidRPr="006B1FEC">
        <w:rPr>
          <w:rFonts w:ascii="Times New Roman" w:eastAsia="Times New Roman" w:hAnsi="Times New Roman" w:cs="Times New Roman"/>
          <w:sz w:val="24"/>
          <w:szCs w:val="24"/>
          <w:lang w:val="es-ES_tradnl" w:eastAsia="es-ES"/>
        </w:rPr>
        <w:t xml:space="preserve"> Pero, la especie humana, aun el primitivo, tiene ya </w:t>
      </w:r>
      <w:r w:rsidRPr="006B1FEC">
        <w:rPr>
          <w:rFonts w:ascii="Times New Roman" w:eastAsia="Times New Roman" w:hAnsi="Times New Roman" w:cs="Times New Roman"/>
          <w:i/>
          <w:iCs/>
          <w:sz w:val="24"/>
          <w:szCs w:val="24"/>
          <w:lang w:val="es-ES_tradnl" w:eastAsia="es-ES"/>
        </w:rPr>
        <w:t>capacidad para discernir lo que hace y dominar sus impulsos</w:t>
      </w:r>
      <w:r w:rsidRPr="006B1FEC">
        <w:rPr>
          <w:rFonts w:ascii="Times New Roman" w:eastAsia="Times New Roman" w:hAnsi="Times New Roman" w:cs="Times New Roman"/>
          <w:sz w:val="24"/>
          <w:szCs w:val="24"/>
          <w:lang w:val="es-ES_tradnl" w:eastAsia="es-ES"/>
        </w:rPr>
        <w:t xml:space="preserve">. En este punto el determinismo se rompe y comienza el imperio de la libertad. </w:t>
      </w:r>
      <w:smartTag w:uri="urn:schemas-microsoft-com:office:smarttags" w:element="PersonName">
        <w:smartTagPr>
          <w:attr w:name="ProductID" w:val="la Psicolog￭a"/>
        </w:smartTagPr>
        <w:r w:rsidRPr="006B1FEC">
          <w:rPr>
            <w:rFonts w:ascii="Times New Roman" w:eastAsia="Times New Roman" w:hAnsi="Times New Roman" w:cs="Times New Roman"/>
            <w:sz w:val="24"/>
            <w:szCs w:val="24"/>
            <w:lang w:val="es-ES_tradnl" w:eastAsia="es-ES"/>
          </w:rPr>
          <w:t>La Psicología</w:t>
        </w:r>
      </w:smartTag>
      <w:r w:rsidRPr="006B1FEC">
        <w:rPr>
          <w:rFonts w:ascii="Times New Roman" w:eastAsia="Times New Roman" w:hAnsi="Times New Roman" w:cs="Times New Roman"/>
          <w:sz w:val="24"/>
          <w:szCs w:val="24"/>
          <w:lang w:val="es-ES_tradnl" w:eastAsia="es-ES"/>
        </w:rPr>
        <w:t xml:space="preserve"> y </w:t>
      </w:r>
      <w:smartTag w:uri="urn:schemas-microsoft-com:office:smarttags" w:element="PersonName">
        <w:smartTagPr>
          <w:attr w:name="ProductID" w:val="la Sociolog￭a"/>
        </w:smartTagPr>
        <w:r w:rsidRPr="006B1FEC">
          <w:rPr>
            <w:rFonts w:ascii="Times New Roman" w:eastAsia="Times New Roman" w:hAnsi="Times New Roman" w:cs="Times New Roman"/>
            <w:sz w:val="24"/>
            <w:szCs w:val="24"/>
            <w:lang w:val="es-ES_tradnl" w:eastAsia="es-ES"/>
          </w:rPr>
          <w:t>la Sociología</w:t>
        </w:r>
      </w:smartTag>
      <w:r w:rsidRPr="006B1FEC">
        <w:rPr>
          <w:rFonts w:ascii="Times New Roman" w:eastAsia="Times New Roman" w:hAnsi="Times New Roman" w:cs="Times New Roman"/>
          <w:sz w:val="24"/>
          <w:szCs w:val="24"/>
          <w:lang w:val="es-ES_tradnl" w:eastAsia="es-ES"/>
        </w:rPr>
        <w:t xml:space="preserve"> se constituirán como Ciencias que estudiarán los usos que hacen los hombres de su libertad.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z w:val="24"/>
          <w:szCs w:val="24"/>
          <w:lang w:val="es-ES_tradnl" w:eastAsia="es-ES"/>
        </w:rPr>
        <w:t xml:space="preserve"> 2002:191/192)</w:t>
      </w:r>
    </w:p>
    <w:p w:rsidR="006B1FEC" w:rsidRPr="006B1FEC" w:rsidRDefault="006B1FEC" w:rsidP="006E418E">
      <w:pPr>
        <w:tabs>
          <w:tab w:val="left" w:pos="8789"/>
        </w:tabs>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lastRenderedPageBreak/>
        <w:t>Lo que se plantea ahora es la necesidad de comprender la criminalidad como un hecho concreto, situado en tiempo y espacio. El delito es tratado como un producto o construcción socio- histórica, que crece con la civilización y el progreso, en paralelo a actividades socialmente productivas.</w:t>
      </w:r>
      <w:r w:rsidRPr="006B1FEC">
        <w:rPr>
          <w:rFonts w:ascii="Times New Roman" w:eastAsia="Times New Roman" w:hAnsi="Times New Roman" w:cs="Times New Roman"/>
          <w:i/>
          <w:iCs/>
          <w:sz w:val="24"/>
          <w:szCs w:val="24"/>
          <w:lang w:val="es-ES_tradnl" w:eastAsia="es-ES"/>
        </w:rPr>
        <w:t xml:space="preserve"> </w:t>
      </w:r>
      <w:smartTag w:uri="urn:schemas-microsoft-com:office:smarttags" w:element="PersonName">
        <w:smartTagPr>
          <w:attr w:name="ProductID" w:val="La Historia"/>
        </w:smartTagPr>
        <w:r w:rsidRPr="006B1FEC">
          <w:rPr>
            <w:rFonts w:ascii="Times New Roman" w:eastAsia="Times New Roman" w:hAnsi="Times New Roman" w:cs="Times New Roman"/>
            <w:i/>
            <w:iCs/>
            <w:sz w:val="24"/>
            <w:szCs w:val="24"/>
            <w:lang w:val="es-ES_tradnl" w:eastAsia="es-ES"/>
          </w:rPr>
          <w:t>La Historia</w:t>
        </w:r>
      </w:smartTag>
      <w:r w:rsidRPr="006B1FEC">
        <w:rPr>
          <w:rFonts w:ascii="Times New Roman" w:eastAsia="Times New Roman" w:hAnsi="Times New Roman" w:cs="Times New Roman"/>
          <w:i/>
          <w:iCs/>
          <w:sz w:val="24"/>
          <w:szCs w:val="24"/>
          <w:lang w:val="es-ES_tradnl" w:eastAsia="es-ES"/>
        </w:rPr>
        <w:t xml:space="preserve"> y </w:t>
      </w:r>
      <w:smartTag w:uri="urn:schemas-microsoft-com:office:smarttags" w:element="PersonName">
        <w:smartTagPr>
          <w:attr w:name="ProductID" w:val="la Sociolog￭a"/>
        </w:smartTagPr>
        <w:r w:rsidRPr="006B1FEC">
          <w:rPr>
            <w:rFonts w:ascii="Times New Roman" w:eastAsia="Times New Roman" w:hAnsi="Times New Roman" w:cs="Times New Roman"/>
            <w:i/>
            <w:iCs/>
            <w:sz w:val="24"/>
            <w:szCs w:val="24"/>
            <w:lang w:val="es-ES_tradnl" w:eastAsia="es-ES"/>
          </w:rPr>
          <w:t>la Sociología</w:t>
        </w:r>
      </w:smartTag>
      <w:r w:rsidRPr="006B1FEC">
        <w:rPr>
          <w:rFonts w:ascii="Times New Roman" w:eastAsia="Times New Roman" w:hAnsi="Times New Roman" w:cs="Times New Roman"/>
          <w:i/>
          <w:iCs/>
          <w:sz w:val="24"/>
          <w:szCs w:val="24"/>
          <w:lang w:val="es-ES_tradnl" w:eastAsia="es-ES"/>
        </w:rPr>
        <w:t>, reemplazan aquí a las categorías puramente físicas y fisiológicas</w:t>
      </w:r>
      <w:r w:rsidRPr="006B1FEC">
        <w:rPr>
          <w:rFonts w:ascii="Times New Roman" w:eastAsia="Times New Roman" w:hAnsi="Times New Roman" w:cs="Times New Roman"/>
          <w:sz w:val="24"/>
          <w:szCs w:val="24"/>
          <w:lang w:val="es-ES_tradnl" w:eastAsia="es-ES"/>
        </w:rPr>
        <w:t>. Este cambio de estatuto epistemológico posibilitará además una visión optimista, que permitirá la planificación político- social; en efecto, no sólo ha aumentado el delito, sino también la piedad y la caridad se han extendido como consecuencia del progreso</w:t>
      </w:r>
      <w:r w:rsidRPr="006B1FEC">
        <w:rPr>
          <w:rFonts w:ascii="Times New Roman" w:eastAsia="Times New Roman" w:hAnsi="Times New Roman" w:cs="Times New Roman"/>
          <w:sz w:val="24"/>
          <w:szCs w:val="24"/>
          <w:vertAlign w:val="superscript"/>
          <w:lang w:val="es-ES_tradnl" w:eastAsia="es-ES"/>
        </w:rPr>
        <w:footnoteReference w:id="9"/>
      </w:r>
      <w:r w:rsidRPr="006B1FEC">
        <w:rPr>
          <w:rFonts w:ascii="Times New Roman" w:eastAsia="Times New Roman" w:hAnsi="Times New Roman" w:cs="Times New Roman"/>
          <w:sz w:val="24"/>
          <w:szCs w:val="24"/>
          <w:lang w:val="es-ES_tradnl" w:eastAsia="es-ES"/>
        </w:rPr>
        <w:t>. Ellas podrán entonces ser organizadas políticamente desde el Estado a fin de paliar las consecuencias negativas del "progreso". (Murillo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z w:val="24"/>
          <w:szCs w:val="24"/>
          <w:lang w:val="es-ES_tradnl" w:eastAsia="es-ES"/>
        </w:rPr>
        <w:t xml:space="preserve"> 2002: 192)</w:t>
      </w:r>
    </w:p>
    <w:p w:rsidR="006B1FEC" w:rsidRPr="006B1FEC" w:rsidRDefault="006B1FEC" w:rsidP="006E418E">
      <w:pPr>
        <w:spacing w:before="100" w:beforeAutospacing="1" w:after="100" w:afterAutospacing="1" w:line="240" w:lineRule="auto"/>
        <w:jc w:val="both"/>
        <w:rPr>
          <w:rFonts w:ascii="Times New Roman" w:eastAsia="Times New Roman" w:hAnsi="Times New Roman" w:cs="Times New Roman"/>
          <w:sz w:val="24"/>
          <w:szCs w:val="24"/>
          <w:lang w:val="es-ES_tradnl" w:eastAsia="es-ES"/>
        </w:rPr>
      </w:pPr>
      <w:r w:rsidRPr="006B1FEC">
        <w:rPr>
          <w:rFonts w:ascii="Times New Roman" w:eastAsia="Times New Roman" w:hAnsi="Times New Roman" w:cs="Times New Roman"/>
          <w:sz w:val="24"/>
          <w:szCs w:val="24"/>
          <w:lang w:val="es-ES_tradnl" w:eastAsia="es-ES"/>
        </w:rPr>
        <w:t xml:space="preserve">Y es la </w:t>
      </w:r>
      <w:r w:rsidRPr="006B1FEC">
        <w:rPr>
          <w:rFonts w:ascii="Times New Roman" w:eastAsia="Times New Roman" w:hAnsi="Times New Roman" w:cs="Times New Roman"/>
          <w:i/>
          <w:iCs/>
          <w:sz w:val="24"/>
          <w:szCs w:val="24"/>
          <w:lang w:val="es-ES_tradnl" w:eastAsia="es-ES"/>
        </w:rPr>
        <w:t>ciudad</w:t>
      </w:r>
      <w:r w:rsidRPr="006B1FEC">
        <w:rPr>
          <w:rFonts w:ascii="Times New Roman" w:eastAsia="Times New Roman" w:hAnsi="Times New Roman" w:cs="Times New Roman"/>
          <w:sz w:val="24"/>
          <w:szCs w:val="24"/>
          <w:lang w:val="es-ES_tradnl" w:eastAsia="es-ES"/>
        </w:rPr>
        <w:t>, la que aparece como el ambiente social más favorable para la emergencia del vicio y la criminalidad, particularmente cuando en ella confluyen los inmigrantes</w:t>
      </w:r>
      <w:r w:rsidRPr="006B1FEC">
        <w:rPr>
          <w:rFonts w:ascii="Times New Roman" w:eastAsia="Times New Roman" w:hAnsi="Times New Roman" w:cs="Times New Roman"/>
          <w:sz w:val="24"/>
          <w:szCs w:val="24"/>
          <w:vertAlign w:val="superscript"/>
          <w:lang w:val="es-ES_tradnl" w:eastAsia="es-ES"/>
        </w:rPr>
        <w:footnoteReference w:id="10"/>
      </w:r>
      <w:r w:rsidRPr="006B1FEC">
        <w:rPr>
          <w:rFonts w:ascii="Times New Roman" w:eastAsia="Times New Roman" w:hAnsi="Times New Roman" w:cs="Times New Roman"/>
          <w:sz w:val="24"/>
          <w:szCs w:val="24"/>
          <w:lang w:val="es-ES_tradnl" w:eastAsia="es-ES"/>
        </w:rPr>
        <w:t>. Paradojalmente, la inmigración y la industria son tomados como factores de criminalidad, en un período de desarrollo capitalista, en el que se ha producido la segunda revolución industrial y la migración de poblaciones es una de las consecuencias del proceso económico. Como el coeficiente de delincuencia es mayor allí donde la población es más inestable</w:t>
      </w:r>
      <w:r w:rsidRPr="006B1FEC">
        <w:rPr>
          <w:rFonts w:ascii="Times New Roman" w:eastAsia="Times New Roman" w:hAnsi="Times New Roman" w:cs="Times New Roman"/>
          <w:sz w:val="24"/>
          <w:szCs w:val="24"/>
          <w:vertAlign w:val="superscript"/>
          <w:lang w:val="es-ES_tradnl" w:eastAsia="es-ES"/>
        </w:rPr>
        <w:footnoteReference w:id="11"/>
      </w:r>
      <w:r w:rsidRPr="006B1FEC">
        <w:rPr>
          <w:rFonts w:ascii="Times New Roman" w:eastAsia="Times New Roman" w:hAnsi="Times New Roman" w:cs="Times New Roman"/>
          <w:sz w:val="24"/>
          <w:szCs w:val="24"/>
          <w:lang w:val="es-ES_tradnl" w:eastAsia="es-ES"/>
        </w:rPr>
        <w:t xml:space="preserve">,  es menester crearle hábitos que la estabilicen.  </w:t>
      </w:r>
      <w:r w:rsidRPr="006B1FEC">
        <w:rPr>
          <w:rFonts w:ascii="Times New Roman" w:eastAsia="Times New Roman" w:hAnsi="Times New Roman" w:cs="Times New Roman"/>
          <w:sz w:val="24"/>
          <w:szCs w:val="24"/>
          <w:lang w:val="es-ES" w:eastAsia="es-ES"/>
        </w:rPr>
        <w:t>(Murillo</w:t>
      </w:r>
      <w:r w:rsidRPr="006B1FEC">
        <w:rPr>
          <w:rFonts w:ascii="Times New Roman" w:eastAsia="Times New Roman" w:hAnsi="Times New Roman" w:cs="Times New Roman"/>
          <w:iCs/>
          <w:spacing w:val="-2"/>
          <w:sz w:val="24"/>
          <w:szCs w:val="24"/>
          <w:lang w:val="es-ES_tradnl" w:eastAsia="es-ES"/>
        </w:rPr>
        <w:t>, Susana</w:t>
      </w:r>
      <w:r w:rsidRPr="006B1FEC">
        <w:rPr>
          <w:rFonts w:ascii="Times New Roman" w:eastAsia="Times New Roman" w:hAnsi="Times New Roman" w:cs="Times New Roman"/>
          <w:sz w:val="24"/>
          <w:szCs w:val="24"/>
          <w:lang w:val="es-ES" w:eastAsia="es-ES"/>
        </w:rPr>
        <w:t>; 2002: 195)</w:t>
      </w:r>
      <w:r w:rsidRPr="006B1FEC">
        <w:rPr>
          <w:rFonts w:ascii="Times New Roman" w:eastAsia="Times New Roman" w:hAnsi="Times New Roman" w:cs="Times New Roman"/>
          <w:sz w:val="24"/>
          <w:szCs w:val="24"/>
          <w:lang w:val="es-ES_tradnl" w:eastAsia="es-ES"/>
        </w:rPr>
        <w:t> </w:t>
      </w:r>
    </w:p>
    <w:p w:rsid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r w:rsidRPr="006B1FEC">
        <w:rPr>
          <w:rFonts w:ascii="Times New Roman" w:eastAsia="Times New Roman" w:hAnsi="Times New Roman" w:cs="Times New Roman"/>
          <w:b/>
          <w:bCs/>
          <w:sz w:val="24"/>
          <w:szCs w:val="24"/>
          <w:lang w:val="es-ES_tradnl" w:eastAsia="es-ES"/>
        </w:rPr>
        <w:t>El sistema penitenciario argentino como castigo: sus orígenes, sus tempranas limitaciones</w:t>
      </w: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Según Caimari, la reflexión sobre los atributos del castigo mismo en la sociedad argentina comenzó junto con los primeros intentos de construcción institucional de ese mismo estado naciente. (Caimari, Lila; 2002:163)</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Los atributos del sistema punitivo del estado moderno argentino imaginado por entonces, seguían de cerca a los de aquellos países europeos y estadounidenses en cuanto lo referido a la moderación de las penas y el principio de igualdad ante </w:t>
      </w:r>
      <w:smartTag w:uri="urn:schemas-microsoft-com:office:smarttags" w:element="PersonName">
        <w:smartTagPr>
          <w:attr w:name="ProductID" w:val="la Ley. De"/>
        </w:smartTagPr>
        <w:r w:rsidRPr="006B1FEC">
          <w:rPr>
            <w:rFonts w:ascii="Times New Roman" w:eastAsia="Times New Roman" w:hAnsi="Times New Roman" w:cs="Times New Roman"/>
            <w:bCs/>
            <w:sz w:val="24"/>
            <w:szCs w:val="24"/>
            <w:lang w:val="es-ES_tradnl" w:eastAsia="es-ES"/>
          </w:rPr>
          <w:t>la Ley. De</w:t>
        </w:r>
      </w:smartTag>
      <w:r w:rsidRPr="006B1FEC">
        <w:rPr>
          <w:rFonts w:ascii="Times New Roman" w:eastAsia="Times New Roman" w:hAnsi="Times New Roman" w:cs="Times New Roman"/>
          <w:bCs/>
          <w:sz w:val="24"/>
          <w:szCs w:val="24"/>
          <w:lang w:val="es-ES_tradnl" w:eastAsia="es-ES"/>
        </w:rPr>
        <w:t xml:space="preserve"> hecho, </w:t>
      </w:r>
      <w:smartTag w:uri="urn:schemas-microsoft-com:office:smarttags" w:element="PersonName">
        <w:smartTagPr>
          <w:attr w:name="ProductID" w:val="la Constituci￳n"/>
        </w:smartTagPr>
        <w:r w:rsidRPr="006B1FEC">
          <w:rPr>
            <w:rFonts w:ascii="Times New Roman" w:eastAsia="Times New Roman" w:hAnsi="Times New Roman" w:cs="Times New Roman"/>
            <w:bCs/>
            <w:sz w:val="24"/>
            <w:szCs w:val="24"/>
            <w:lang w:val="es-ES_tradnl" w:eastAsia="es-ES"/>
          </w:rPr>
          <w:t>la Constitución</w:t>
        </w:r>
      </w:smartTag>
      <w:r w:rsidRPr="006B1FEC">
        <w:rPr>
          <w:rFonts w:ascii="Times New Roman" w:eastAsia="Times New Roman" w:hAnsi="Times New Roman" w:cs="Times New Roman"/>
          <w:bCs/>
          <w:sz w:val="24"/>
          <w:szCs w:val="24"/>
          <w:lang w:val="es-ES_tradnl" w:eastAsia="es-ES"/>
        </w:rPr>
        <w:t xml:space="preserve"> de 1853 reflejó esta persuasión, consagrando nociones de castigo moderado y conectando a </w:t>
      </w:r>
      <w:smartTag w:uri="urn:schemas-microsoft-com:office:smarttags" w:element="PersonName">
        <w:smartTagPr>
          <w:attr w:name="ProductID" w:val="la Argentina"/>
        </w:smartTagPr>
        <w:r w:rsidRPr="006B1FEC">
          <w:rPr>
            <w:rFonts w:ascii="Times New Roman" w:eastAsia="Times New Roman" w:hAnsi="Times New Roman" w:cs="Times New Roman"/>
            <w:bCs/>
            <w:sz w:val="24"/>
            <w:szCs w:val="24"/>
            <w:lang w:val="es-ES_tradnl" w:eastAsia="es-ES"/>
          </w:rPr>
          <w:t>la Argentina</w:t>
        </w:r>
      </w:smartTag>
      <w:r w:rsidRPr="006B1FEC">
        <w:rPr>
          <w:rFonts w:ascii="Times New Roman" w:eastAsia="Times New Roman" w:hAnsi="Times New Roman" w:cs="Times New Roman"/>
          <w:bCs/>
          <w:sz w:val="24"/>
          <w:szCs w:val="24"/>
          <w:lang w:val="es-ES_tradnl" w:eastAsia="es-ES"/>
        </w:rPr>
        <w:t xml:space="preserve"> con la mayoría de las naciones occidentales en su opción por la privación de la libertad como pena de referencia. Ese texto magno consagró también la eliminación de torturas y azotes (ya suprimidos por la asamblea de 1813 y los ensayos constitucionales precedentes), asi como la pena de muerte por causas políticas. En </w:t>
      </w:r>
      <w:smartTag w:uri="urn:schemas-microsoft-com:office:smarttags" w:element="PersonName">
        <w:smartTagPr>
          <w:attr w:name="ProductID" w:val="la Argentina"/>
        </w:smartTagPr>
        <w:r w:rsidRPr="006B1FEC">
          <w:rPr>
            <w:rFonts w:ascii="Times New Roman" w:eastAsia="Times New Roman" w:hAnsi="Times New Roman" w:cs="Times New Roman"/>
            <w:bCs/>
            <w:sz w:val="24"/>
            <w:szCs w:val="24"/>
            <w:lang w:val="es-ES_tradnl" w:eastAsia="es-ES"/>
          </w:rPr>
          <w:t>la Argentina</w:t>
        </w:r>
      </w:smartTag>
      <w:r w:rsidRPr="006B1FEC">
        <w:rPr>
          <w:rFonts w:ascii="Times New Roman" w:eastAsia="Times New Roman" w:hAnsi="Times New Roman" w:cs="Times New Roman"/>
          <w:bCs/>
          <w:sz w:val="24"/>
          <w:szCs w:val="24"/>
          <w:lang w:val="es-ES_tradnl" w:eastAsia="es-ES"/>
        </w:rPr>
        <w:t xml:space="preserve"> moderna, entonces, el castigo reflejaría la aplicación justa e igualitaria de la ley, y no la pasionada furia vengativa de la sociedad. Incluso, la privación de la libertad rehusaba llamarse castigo: el artículo 18 describía las prisiones del futuro como “sanas y limpias para seguridad y no como castigo de los reos detenidos en ellas”, y repudiaba cualquier utilización del sistema carcelario para la mortificación de los penados. (Caimari, Lila; 2002:141)</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Ya en 1834, Marco Avellaneda hablaba de la función positiva del encierro, y lo presentaba como un reemplazo punitivo de la muerte que prefiguraba muy precisamente la concepción utilitaria del castigo que también se imponía por entonces.  Pero, la concepción del castigo ligada más al trabajo que caracterizaría la reforma penitenciaria de la segunda mitad del siglo XIX, era compartida por los autores más claramente volcados a las tesis ilustradas. La concepción del castigo, definida esencialmente por su restricción a penas corporales, se impondrá en la segunda mitad del siglo y encontraría su expresión en una Constitución, que era mucho más explícita, en palabras de Caimari, con respecto a lo que el castigo no sería (azotes, muerte arbitraria, mortificación) que a sus características positivas. (Caimari, Lila; 2002: 145). </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De esta manera en la época Rosista, según la autora, todavía los castigos corporales, las ejecuciones ejemplificadoras y la imprecisión legal, sellaron una imagen retrospectiva de sangriento arcaísmo. Porque la percepción de este sangriento pasado reciente, reflejaba en forma incompleta un régimen en el que se mezclaban penas de “antiguo régimen”, con el cepo, los azotes y las ejecuciones rodeadas de teatralidad pública, con rasgos más modernos de invisibilidad de la pena e igualdad ante la ley. </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Hasta los años 1880, los sueños de la moderación punitiva coincidieron con un prolongado período de inestabilidad en el que el estado nacional fue desafiado repetidamente. El estallido de numerosas sublevaciones provinciales recibió castigos tan violentos y corporales como los del pasado más sangriento de la imaginación jurídica, nos recuerda Caimari.</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En 1860, los estudios sobre la naturaleza del castigo legítimo iban dando lugar a trabajos cada vez más detallados sobre las condiciones de aplicación de la privación de la libertad, tácitamente reconocida como la pena de referencia de la nueva sociedad. Dentro de este consenso, se despliega toda una constelación de argumentos más parciales con respecto a regímenes de encierro, modelos de arquitectura carcelaria, ingredientes de la terapia penitenciaria.</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La penitenciaría, en efecto, sintetizaba muchos de los atributos del castigo civilizado implícitos en </w:t>
      </w:r>
      <w:smartTag w:uri="urn:schemas-microsoft-com:office:smarttags" w:element="PersonName">
        <w:smartTagPr>
          <w:attr w:name="ProductID" w:val="la Constituci￳n"/>
        </w:smartTagPr>
        <w:r w:rsidRPr="006B1FEC">
          <w:rPr>
            <w:rFonts w:ascii="Times New Roman" w:eastAsia="Times New Roman" w:hAnsi="Times New Roman" w:cs="Times New Roman"/>
            <w:bCs/>
            <w:sz w:val="24"/>
            <w:szCs w:val="24"/>
            <w:lang w:val="es-ES_tradnl" w:eastAsia="es-ES"/>
          </w:rPr>
          <w:t>la Constitución</w:t>
        </w:r>
      </w:smartTag>
      <w:r w:rsidRPr="006B1FEC">
        <w:rPr>
          <w:rFonts w:ascii="Times New Roman" w:eastAsia="Times New Roman" w:hAnsi="Times New Roman" w:cs="Times New Roman"/>
          <w:bCs/>
          <w:sz w:val="24"/>
          <w:szCs w:val="24"/>
          <w:lang w:val="es-ES_tradnl" w:eastAsia="es-ES"/>
        </w:rPr>
        <w:t>; privación de la libertad, invisibilidad de la pena, respecto de la integridad física del penado. A partir de entonces, el encierro deja de ser pura negación de la libertad para transformarse en un castigo definido como proceso, en cuya implementación el Estado tiene un papel esencial de agente transformador. El castigo del pasado, expresado en la represión pública, estaba destinado a ser reemplazado por un proceso capaz de ejercer intervenciones rutinarias cuyo resultado sería la corrección gradual del penado. El período que durará el encierro, sería entonces para someter a los reclusos a un programa de reforma mediante estricto régimen de trabajo, higiene e instrucción destinado a transformarlos en ciudadanos honrados y laboriosos (Caimari, Lila; 2002:147)</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Esta intención correctiva reflejaba a la penitenciaria como pena que mejor encarnaba el optimismo de la época. Reflejaba también un cambio más amplio entre la sociedad y el Estado en la que este último se atribuía el papel modelador de la sociedad; el Estado era el agente transformador de una reforma proyectada desde las capas de las élites dirigentes hacia las clases más bajas que históricamente formarían el grueso de la población carcelaria. Aislamiento silencioso nocturno, disciplina y trabajo diurnos en talleres, instrucción, sistema de premios y castigos: toda una serie de técnicas, intervenciones, estímulos y desalientos que acercaban a los penados a un modelo de ciudadano industrioso.</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Pero si bien, el credo reformista penitenciario hegemonizaba el debate sobre sistemas punitivos, su triunfo ideológico no era completo, y como sostiene Caimari, nunca sería completo. Todavía en 1888, no faltaban quienes después de pronunciarse a favor de la penitenciaría como pena ideal, dejaban escapar nostálgicas disquisiciones sobre las virtudes didácticas del espectáculo de la ejecución del cadalso. A esto iba adjunto la idea de que la invisible pena penitenciaria estaba tristemente desprovista de toda teatralidad pedagógica. El precio del triunfo de la prisión era el debilitamiento de la función socialmente didáctica del castigo, que muchos defensores del cambio deploraban y procuraban compensar con una visibilidad mayor de los presidiarios, obligándolos a trabajar en público arrastrando sus cadenas. </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El Código Penal de 1887 sancionado sobre el proyecto de Carlos Tejedor de 1868, introducía una lista de penas como la penitenciaria, pero mantenía todavía los trabajos forzados (presidio) y la muerte, aunque en casos muy restringidos, así como otras formas de privación de la libertad como arrestos, que no asociaban necesariamente encierro con trabajo o terapia rehabilitadora. (Caimari, Lila; 2002:148)</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Hacia 1870, la penitenciaría constituía la pena de referencia, hacia la cual la mayoría de los juristas querían encauzar las políticas del Estado. El movimiento decimonónico de reformas de penitenciaría mundial; nacido como respuesta a las denuncias de las condiciones de las prisiones europeas lanzadas por John Howard en The State of Prisons (1777), había proporcionado a los juristas locales, el programa y la experiencia previos que </w:t>
      </w:r>
      <w:smartTag w:uri="urn:schemas-microsoft-com:office:smarttags" w:element="PersonName">
        <w:smartTagPr>
          <w:attr w:name="ProductID" w:val="la Argentina"/>
        </w:smartTagPr>
        <w:r w:rsidRPr="006B1FEC">
          <w:rPr>
            <w:rFonts w:ascii="Times New Roman" w:eastAsia="Times New Roman" w:hAnsi="Times New Roman" w:cs="Times New Roman"/>
            <w:bCs/>
            <w:sz w:val="24"/>
            <w:szCs w:val="24"/>
            <w:lang w:val="es-ES_tradnl" w:eastAsia="es-ES"/>
          </w:rPr>
          <w:t>la Argentina</w:t>
        </w:r>
      </w:smartTag>
      <w:r w:rsidRPr="006B1FEC">
        <w:rPr>
          <w:rFonts w:ascii="Times New Roman" w:eastAsia="Times New Roman" w:hAnsi="Times New Roman" w:cs="Times New Roman"/>
          <w:bCs/>
          <w:sz w:val="24"/>
          <w:szCs w:val="24"/>
          <w:lang w:val="es-ES_tradnl" w:eastAsia="es-ES"/>
        </w:rPr>
        <w:t xml:space="preserve">, podía, llegada más tarde, ahora utilizar. Como sostiene Caimari la penitenciaría tenía por eso el atractivo adicional de conectar al país con el mundo. Los diarios porteños también se sumaban como portavoces de las ideas de reforma punitiva. Las manifestaciones populares contra los fusilamientos y la pena capital que todavía en el 1870 seguían estando, exigían la abolición de estas penas a favor de la modernización de las cárceles y así, las constantes condiciones de hacinamiento en el cabildo de los reclusos eran el blanco constante de denuncias periodísticas y populares. La antigua prisión/cabildo, ubicada en el centro de la ciudad, era vista como un peligroso foco de contagio: contagio de gérmenes, contagio moral, por el hacinamiento y la mezcla de presos de la más diversa naturaleza. Era, además, un símbolo vergonzoso frente a la pirámide de mayo, y una presencia oscura en el Paseo de </w:t>
      </w:r>
      <w:smartTag w:uri="urn:schemas-microsoft-com:office:smarttags" w:element="PersonName">
        <w:smartTagPr>
          <w:attr w:name="ProductID" w:val="la Victoria"/>
        </w:smartTagPr>
        <w:r w:rsidRPr="006B1FEC">
          <w:rPr>
            <w:rFonts w:ascii="Times New Roman" w:eastAsia="Times New Roman" w:hAnsi="Times New Roman" w:cs="Times New Roman"/>
            <w:bCs/>
            <w:sz w:val="24"/>
            <w:szCs w:val="24"/>
            <w:lang w:val="es-ES_tradnl" w:eastAsia="es-ES"/>
          </w:rPr>
          <w:t>la Victoria</w:t>
        </w:r>
      </w:smartTag>
      <w:r w:rsidRPr="006B1FEC">
        <w:rPr>
          <w:rFonts w:ascii="Times New Roman" w:eastAsia="Times New Roman" w:hAnsi="Times New Roman" w:cs="Times New Roman"/>
          <w:bCs/>
          <w:sz w:val="24"/>
          <w:szCs w:val="24"/>
          <w:lang w:val="es-ES_tradnl" w:eastAsia="es-ES"/>
        </w:rPr>
        <w:t>, que ponía a la vista de los paseantes el desagradable espectáculo de los reclusos hacinados. (Caimari, Lila; 2002:149)</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r w:rsidRPr="006B1FEC">
        <w:rPr>
          <w:rFonts w:ascii="Times New Roman" w:eastAsia="Times New Roman" w:hAnsi="Times New Roman" w:cs="Times New Roman"/>
          <w:b/>
          <w:bCs/>
          <w:sz w:val="24"/>
          <w:szCs w:val="24"/>
          <w:lang w:val="es-ES_tradnl" w:eastAsia="es-ES"/>
        </w:rPr>
        <w:t>La penitenciaría de Buenos Aires</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La penitenciaría de Bs As fundada en 1876 y federalizada en 1880, era más que nada, en el momento de su fundación, la prueba del compromiso de la nueva nación con la reforma del castigo tan largamente esperada.  Un año más tarde, se inaugurarían las prisiones de San Nicolás de los Arroyos; Dolores y Mercedes. En Bs. As., fue Alsina quien introdujo el tema de la necesaria modernización carcelaria en la arena política y el gobernador Emilio Castro, quien impulsó el primer proyecto de penitenciaría moderna local. (Caimari, Lila; 2002:150)</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Después de un gran debate acerca de la concepción de la penitenciaria, se optó por un edificio de estructura radial, es decir, organizado en forma de abanico, en pabellones con células individuales que confluían en el centro, en el que estaba montado el dispositivo de vigilancia, y por sobre él, la capilla. Así, los planos finales del arquitecto Ernesto Bunge, se inspiraban en penitenciarías modelo del mundo entero, de las que la prisión “industrial” inglesa de Pentonville era una de las referencias principales. La opción por el diseño radial, por oposición a los pabellones paralelos, remite a la vigencia que aún tenían las ideas de control central y separación celular desarrolladas por Bentham en el siglo anterior. (Caimari, Lila; 2002:151)</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Luego de acalorados debates sobre los regímenes penitenciarios en boga, la penitenciaría terminó adoptando el régimen mixto de Auburn; silencio total, aislamiento nocturno y trabajo en común en talleres durante el día. Sin embargo, el éxito del régimen de Auburn era, según observadores contemporáneos, obstaculizado por su forma radial para regímenes celulares, que dificultaba la construcción de talleres e impedía la organización del trabajo colectivo y que, además generaba graves problemas sanitarios y de aireación. Caimari retrata los tropiezos propios de un proyecto que se iniciaba. Pero, en fin, un proyecto punitivo ambivalente, realizado en un momento de transición de paradigmas, en el que se mezclaban nociones de separación y terapia rehabilitadora, con experiencias de convivencia en la práctica de hombres, mujeres, menores, condenados, procesados y hasta tribunales judiciales, todos en el mismo edificio. (Caimari, Lila; 2002: 153)</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Otra limitación de la penitenciaria, según dicha autora, fue la de la superpoblación, rasgo crónico de la institución, aun en su período glorioso, a principios de siglo, cuando albergaba alrededor de 1000 presos en 704 celdas. </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Es común también en los periódicos de la época y en medios literarios y artísticos como el Martin Fierro, la referencia al trauma experimentado por los reclusos al interior de las cárceles, que remiten usualmente a una aprehensión generalizada de los prisioneros ante un nuevo sistema celular que, aunque sólo parcial, representaba un corte brutal con respecto a la intensa sociabilidad del cabildo. Temor, además a convertirse el recluso, en anónimas partículas de un sistema que, en este edificio imponente, los despojaba no solo de sonido y compañía (“un silencio tan profundo”), sino también de identidad: el pelo y los bigotes afeitados, el nombre reemplazado por un número, la ropa por el uniforme. (Caimari, Lila; 2002:156)</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
          <w:bCs/>
          <w:sz w:val="24"/>
          <w:szCs w:val="24"/>
          <w:lang w:val="es-ES_tradnl" w:eastAsia="es-ES"/>
        </w:rPr>
      </w:pPr>
      <w:r w:rsidRPr="006B1FEC">
        <w:rPr>
          <w:rFonts w:ascii="Times New Roman" w:eastAsia="Times New Roman" w:hAnsi="Times New Roman" w:cs="Times New Roman"/>
          <w:b/>
          <w:bCs/>
          <w:sz w:val="24"/>
          <w:szCs w:val="24"/>
          <w:lang w:val="es-ES_tradnl" w:eastAsia="es-ES"/>
        </w:rPr>
        <w:t xml:space="preserve"> La prisión como laboratorio: los criminólogos</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La verdadera transformación conceptual en las ideas sobre el castigo y su tratamiento no llegó sino años más tarde a los edificios radiales. A principios del siglo XX, el aumento del crimen urbano, la ola inmigrante, la vertiginosa urbanización en Bs As, el nacimiento de un movimiento obrero fue el contexto de una sociedad porteña minada de problemas nuevos y con una clase dirigente ansiosa por encontrar soluciones a la nueva “cuestión social”. Es por ello, que emerge una disciplina en la que estas preocupaciones confluirán hacia el tratamiento de la ciencia. Este cambio de siglo vio nacer una interpretación de lo social profundamente influida por la batería teórica de la medicina que permitió representar a la sociedad como un organismo y al conflicto social como enfermedad infecciosa y contagiosa. La criminología positivista participaría de esta mirada “medicalizada” de la sociedad proporcionando un lenguaje científico para conceptuar los problemas y soluciones a la cuestión del crimen.</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Los criminólogos (la mayoría de los cuales eran médicos de formación) instalaron al criminal (a expensas del crimen) en el centro de la nueva ciencia. El conocimiento de las infinitas particularidades de cada delincuente haría posible la definición científica de las causas de su acción y la elaboración de la pena de acuerdo con las necesidades de cada caso. La individualización del estudio y tratamiento del delincuente a la que la teoría conducía, estaba íntimamente ligada a otro eslabón del pensamiento criminológico de fin del siglo XIX: el </w:t>
      </w:r>
      <w:r w:rsidRPr="006B1FEC">
        <w:rPr>
          <w:rFonts w:ascii="Times New Roman" w:eastAsia="Times New Roman" w:hAnsi="Times New Roman" w:cs="Times New Roman"/>
          <w:bCs/>
          <w:sz w:val="24"/>
          <w:szCs w:val="24"/>
          <w:lang w:val="es-ES_tradnl" w:eastAsia="es-ES"/>
        </w:rPr>
        <w:lastRenderedPageBreak/>
        <w:t>concepto de peligrosidad. Definida como el estado potencial del impulso antisocial de cada individuo, la peligrosidad era medida a partir de múltiples variables. Y la misión primordial de la criminología era defender la sociedad, separando, observando y determinando la peligrosidad de la mayor cantidad posible de individuos.  (Caimari, Lila; 2002:156/157)</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Los especialistas locales seguían muy de cerca la evolución de la escuela italiana, donde el estudio del criminal había sido defendido por Cesare Lombroso en el texto fundacional de la criminología positivista, L´uomo delincuente (1876), y más tarde modificado por Enrico Ferri y los críticos desde la escuela francesa. La criminología en </w:t>
      </w:r>
      <w:smartTag w:uri="urn:schemas-microsoft-com:office:smarttags" w:element="PersonName">
        <w:smartTagPr>
          <w:attr w:name="ProductID" w:val="la Argentina"/>
        </w:smartTagPr>
        <w:r w:rsidRPr="006B1FEC">
          <w:rPr>
            <w:rFonts w:ascii="Times New Roman" w:eastAsia="Times New Roman" w:hAnsi="Times New Roman" w:cs="Times New Roman"/>
            <w:bCs/>
            <w:sz w:val="24"/>
            <w:szCs w:val="24"/>
            <w:lang w:val="es-ES_tradnl" w:eastAsia="es-ES"/>
          </w:rPr>
          <w:t>la Argentina</w:t>
        </w:r>
      </w:smartTag>
      <w:r w:rsidRPr="006B1FEC">
        <w:rPr>
          <w:rFonts w:ascii="Times New Roman" w:eastAsia="Times New Roman" w:hAnsi="Times New Roman" w:cs="Times New Roman"/>
          <w:bCs/>
          <w:sz w:val="24"/>
          <w:szCs w:val="24"/>
          <w:lang w:val="es-ES_tradnl" w:eastAsia="es-ES"/>
        </w:rPr>
        <w:t xml:space="preserve"> nació como una ciencia eminentemente oficial: ligada al Estado en sus proyectos, su financiamiento y su liderazgo y legitimación (Caimari, Lila; 2002: 157)</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La penitenciaría nacional, vidriera de los planes de las reformas positivistas de tratamiento del crimen gracias a los directores asociados al círculo de nuevos científicos, fue donde se instaló el primer Instituto de Criminología, fundado y dirigido por José Ingenieros. Ingenieros utilizó este espacio para poner en práctica su contribución principal a la ciencia criminológica: un sistema de clasificación que tomaba elementos de varios de los sistemas ya existentes, pero enfatizando el peso de las psicopatologías en el examen y diagnóstico de la peligrosidad, imprimiendo un giro psiquiátrico y psicológico a los estudios argentinos del criminal. (Caimari, Lila; 2002:158)</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La criminología “científica” debió a adaptarse a la lógica institucional de la prisión y del proyecto penitenciario: el principio de clasificación y separación de penados de acuerdo con el origen patológico de su criminalidad chocó con el objetivo penitenciario de la reforma por el trabajo, donde las causas de la criminalidad eran mucho menos relevantes que la compatibilidad de trabajadores en cada taller. Como sostenía Eusebio Gómez, director de la penitenciaría y allegado a los medios criminológicos: “El autor de un homicidio calificado con todas las circunstancias de agravación y el ladrón vulgar pueden muy bien requerir el mismo destino en la vida industrial de la prisión. Delincuentes de la más grande semejanza psicológica pueden poseer aptitudes manuales bien diversas” (Caimari, Lila; 2002:159).</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Por otra parte, según la autora, la categoría de criminal congénito e irrecuperable de las clasificaciones positivistas demostró ser compatible con la profunda fe transformadora de los líderes del proyecto penitenciario, incluso los más ligados al medio de los criminólogos, como Antonio Ballvé y Eusebio Gómez, quienes abrazaban el credo penitenciario según el cual ningún penado era irreformable. </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 xml:space="preserve">Otro tema a considerar lo constituye e origen histórico del carácter mixto (procesados y condenados) de la población penal argentina, que, en el Código de procedimientos de 1888, instituyó la prisión preventiva sin límite de tiempo para procesados por numerosos delitos, así como un sistema procesal escrito extremadamente lento y burocrático. De los 8.0000 encarcelados en 1909, más del 60 % eran personas técnicamente inocentes que aguardaban encerrados en prisión el resultado de sus juicios. La proporción bajaría en 1939, merced a </w:t>
      </w:r>
      <w:smartTag w:uri="urn:schemas-microsoft-com:office:smarttags" w:element="PersonName">
        <w:smartTagPr>
          <w:attr w:name="ProductID" w:val="la Ley"/>
        </w:smartTagPr>
        <w:r w:rsidRPr="006B1FEC">
          <w:rPr>
            <w:rFonts w:ascii="Times New Roman" w:eastAsia="Times New Roman" w:hAnsi="Times New Roman" w:cs="Times New Roman"/>
            <w:bCs/>
            <w:sz w:val="24"/>
            <w:szCs w:val="24"/>
            <w:lang w:val="es-ES_tradnl" w:eastAsia="es-ES"/>
          </w:rPr>
          <w:t>la Ley</w:t>
        </w:r>
      </w:smartTag>
      <w:r w:rsidRPr="006B1FEC">
        <w:rPr>
          <w:rFonts w:ascii="Times New Roman" w:eastAsia="Times New Roman" w:hAnsi="Times New Roman" w:cs="Times New Roman"/>
          <w:bCs/>
          <w:sz w:val="24"/>
          <w:szCs w:val="24"/>
          <w:lang w:val="es-ES_tradnl" w:eastAsia="es-ES"/>
        </w:rPr>
        <w:t xml:space="preserve"> de Excarcelación, pero seguiría siendo del orden del 30 al 40 %. Hasta la inauguración de la prisión nueva de Caseros en 1979, que comenzó a construirse un año antes de la demolición de la penitenciaria (1961), los miles de encausados del sistema penal nacional circulaban por diversas instituciones. En la capital, podían ser alojados en la penitenciaría (sobre todo si estaban acusados de homicidio y delitos contra la propiedad). A partir de 1940, se oficializó el Depósito de Contraventores en los departamentos de policía de Villa Devoto, como otro destino para procesados. (Caimari, Lila; 2002:161)</w:t>
      </w: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6B1FEC" w:rsidRP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r w:rsidRPr="006B1FEC">
        <w:rPr>
          <w:rFonts w:ascii="Times New Roman" w:eastAsia="Times New Roman" w:hAnsi="Times New Roman" w:cs="Times New Roman"/>
          <w:bCs/>
          <w:sz w:val="24"/>
          <w:szCs w:val="24"/>
          <w:lang w:val="es-ES_tradnl" w:eastAsia="es-ES"/>
        </w:rPr>
        <w:t>La mezcla y la indiferenciación punitiva por entonces, en Bs As y en las provincias, eran el cuadro cotidiano dominante detrás de las clasificaciones de la criminología y de las ilusiones rehabilitadoras del penitenciarismo.</w:t>
      </w:r>
    </w:p>
    <w:p w:rsidR="006B1FEC" w:rsidRDefault="006B1FEC" w:rsidP="006E418E">
      <w:pPr>
        <w:spacing w:after="0" w:line="240" w:lineRule="auto"/>
        <w:jc w:val="both"/>
        <w:rPr>
          <w:rFonts w:ascii="Times New Roman" w:eastAsia="Times New Roman" w:hAnsi="Times New Roman" w:cs="Times New Roman"/>
          <w:bCs/>
          <w:sz w:val="24"/>
          <w:szCs w:val="24"/>
          <w:lang w:val="es-ES_tradnl" w:eastAsia="es-ES"/>
        </w:rPr>
      </w:pPr>
    </w:p>
    <w:p w:rsidR="00310721" w:rsidRPr="00485E4E" w:rsidRDefault="003E2108" w:rsidP="006E418E">
      <w:pPr>
        <w:spacing w:line="240" w:lineRule="auto"/>
        <w:rPr>
          <w:rFonts w:ascii="Times New Roman" w:hAnsi="Times New Roman" w:cs="Times New Roman"/>
          <w:b/>
        </w:rPr>
      </w:pPr>
      <w:r w:rsidRPr="00485E4E">
        <w:rPr>
          <w:rFonts w:ascii="Times New Roman" w:hAnsi="Times New Roman" w:cs="Times New Roman"/>
          <w:b/>
        </w:rPr>
        <w:t>BIBLIOGRAFÍA</w:t>
      </w:r>
    </w:p>
    <w:p w:rsidR="003E2108" w:rsidRPr="006E418E" w:rsidRDefault="003E2108" w:rsidP="006E418E">
      <w:pPr>
        <w:numPr>
          <w:ilvl w:val="0"/>
          <w:numId w:val="2"/>
        </w:numPr>
        <w:spacing w:after="0" w:line="240" w:lineRule="auto"/>
        <w:jc w:val="both"/>
        <w:rPr>
          <w:rFonts w:ascii="Times New Roman" w:eastAsia="Times New Roman" w:hAnsi="Times New Roman" w:cs="Times New Roman"/>
          <w:i/>
          <w:sz w:val="16"/>
          <w:szCs w:val="16"/>
          <w:lang w:val="es-ES" w:eastAsia="es-ES"/>
        </w:rPr>
      </w:pPr>
      <w:r w:rsidRPr="006E418E">
        <w:rPr>
          <w:rFonts w:ascii="Times New Roman" w:eastAsia="Times New Roman" w:hAnsi="Times New Roman" w:cs="Times New Roman"/>
          <w:sz w:val="16"/>
          <w:szCs w:val="16"/>
          <w:lang w:val="es-ES" w:eastAsia="es-ES"/>
        </w:rPr>
        <w:t xml:space="preserve">Caimari, Lila (2002) “Castigar civilizadamente, rasgos de la modernización punitiva en la argentina (1827- 1930). En: Gayol, Sandra y Kessler, Gabriel. </w:t>
      </w:r>
      <w:r w:rsidRPr="006E418E">
        <w:rPr>
          <w:rFonts w:ascii="Times New Roman" w:eastAsia="Times New Roman" w:hAnsi="Times New Roman" w:cs="Times New Roman"/>
          <w:i/>
          <w:sz w:val="16"/>
          <w:szCs w:val="16"/>
          <w:lang w:val="es-ES" w:eastAsia="es-ES"/>
        </w:rPr>
        <w:t>Violencias, delitos y justicias en la Argentina</w:t>
      </w:r>
      <w:r w:rsidRPr="006E418E">
        <w:rPr>
          <w:rFonts w:ascii="Times New Roman" w:eastAsia="Times New Roman" w:hAnsi="Times New Roman" w:cs="Times New Roman"/>
          <w:sz w:val="16"/>
          <w:szCs w:val="16"/>
          <w:lang w:val="es-ES" w:eastAsia="es-ES"/>
        </w:rPr>
        <w:t xml:space="preserve">. Buenos Aires: Editorial Manantial. </w:t>
      </w:r>
    </w:p>
    <w:p w:rsidR="000A0169" w:rsidRPr="006E418E" w:rsidRDefault="000A0169" w:rsidP="006E418E">
      <w:pPr>
        <w:pStyle w:val="Ttulo"/>
        <w:numPr>
          <w:ilvl w:val="0"/>
          <w:numId w:val="2"/>
        </w:numPr>
        <w:jc w:val="both"/>
        <w:rPr>
          <w:rFonts w:ascii="Times New Roman" w:hAnsi="Times New Roman"/>
          <w:b w:val="0"/>
          <w:sz w:val="16"/>
          <w:szCs w:val="16"/>
        </w:rPr>
      </w:pPr>
      <w:r w:rsidRPr="006E418E">
        <w:rPr>
          <w:rFonts w:ascii="Times New Roman" w:hAnsi="Times New Roman"/>
          <w:b w:val="0"/>
          <w:sz w:val="16"/>
          <w:szCs w:val="16"/>
        </w:rPr>
        <w:t xml:space="preserve">Foucault Michel. (2005). Las redes del poder. En: Ferrer Christian (comp.) </w:t>
      </w:r>
      <w:r w:rsidRPr="006E418E">
        <w:rPr>
          <w:rFonts w:ascii="Times New Roman" w:hAnsi="Times New Roman"/>
          <w:b w:val="0"/>
          <w:i/>
          <w:sz w:val="16"/>
          <w:szCs w:val="16"/>
        </w:rPr>
        <w:t>El lenguaje libertario</w:t>
      </w:r>
      <w:r w:rsidRPr="006E418E">
        <w:rPr>
          <w:rFonts w:ascii="Times New Roman" w:hAnsi="Times New Roman"/>
          <w:b w:val="0"/>
          <w:sz w:val="16"/>
          <w:szCs w:val="16"/>
        </w:rPr>
        <w:t>. La Plata, Bs As: Ediciones Terramar.</w:t>
      </w:r>
    </w:p>
    <w:p w:rsidR="003E2108" w:rsidRPr="006E418E" w:rsidRDefault="003E2108" w:rsidP="006E418E">
      <w:pPr>
        <w:numPr>
          <w:ilvl w:val="0"/>
          <w:numId w:val="2"/>
        </w:numPr>
        <w:spacing w:after="0" w:line="240" w:lineRule="auto"/>
        <w:jc w:val="both"/>
        <w:rPr>
          <w:rFonts w:ascii="Times New Roman" w:hAnsi="Times New Roman" w:cs="Times New Roman"/>
          <w:sz w:val="16"/>
          <w:szCs w:val="16"/>
        </w:rPr>
      </w:pPr>
      <w:r w:rsidRPr="006E418E">
        <w:rPr>
          <w:rFonts w:ascii="Times New Roman" w:hAnsi="Times New Roman" w:cs="Times New Roman"/>
          <w:sz w:val="16"/>
          <w:szCs w:val="16"/>
        </w:rPr>
        <w:t xml:space="preserve">Murillo, Susana. (2002). Alienismo y modelo correccional: la paradoja del contrato social.  En: Elbert, Carlos Alberto – Susana Murillo - Mirtha López González – Mónica Kalinsky (coordinadores). Buenos Aires: Editorial Rubinzal Culzoni. </w:t>
      </w:r>
    </w:p>
    <w:p w:rsidR="003E2108" w:rsidRPr="006E418E" w:rsidRDefault="003E2108" w:rsidP="006E418E">
      <w:pPr>
        <w:pStyle w:val="Ttulo"/>
        <w:numPr>
          <w:ilvl w:val="0"/>
          <w:numId w:val="2"/>
        </w:numPr>
        <w:jc w:val="both"/>
        <w:rPr>
          <w:rFonts w:ascii="Times New Roman" w:hAnsi="Times New Roman" w:cs="Times New Roman"/>
          <w:b w:val="0"/>
          <w:sz w:val="16"/>
          <w:szCs w:val="16"/>
        </w:rPr>
      </w:pPr>
      <w:r w:rsidRPr="006E418E">
        <w:rPr>
          <w:rFonts w:ascii="Times New Roman" w:hAnsi="Times New Roman" w:cs="Times New Roman"/>
          <w:b w:val="0"/>
          <w:sz w:val="16"/>
          <w:szCs w:val="16"/>
        </w:rPr>
        <w:t xml:space="preserve">Neuman, Elías. (2001). </w:t>
      </w:r>
      <w:r w:rsidRPr="006E418E">
        <w:rPr>
          <w:rFonts w:ascii="Times New Roman" w:hAnsi="Times New Roman" w:cs="Times New Roman"/>
          <w:b w:val="0"/>
          <w:i/>
          <w:sz w:val="16"/>
          <w:szCs w:val="16"/>
        </w:rPr>
        <w:t>El Estado penal y la prisión/muerte</w:t>
      </w:r>
      <w:r w:rsidRPr="006E418E">
        <w:rPr>
          <w:rFonts w:ascii="Times New Roman" w:hAnsi="Times New Roman" w:cs="Times New Roman"/>
          <w:b w:val="0"/>
          <w:sz w:val="16"/>
          <w:szCs w:val="16"/>
        </w:rPr>
        <w:t>. Buenos Aires: Editorial Universidad.</w:t>
      </w:r>
    </w:p>
    <w:p w:rsidR="003E2108" w:rsidRPr="006E418E" w:rsidRDefault="003E2108" w:rsidP="006E418E">
      <w:pPr>
        <w:spacing w:line="240" w:lineRule="auto"/>
        <w:rPr>
          <w:rFonts w:ascii="Times New Roman" w:hAnsi="Times New Roman" w:cs="Times New Roman"/>
          <w:sz w:val="16"/>
          <w:szCs w:val="16"/>
        </w:rPr>
      </w:pPr>
      <w:bookmarkStart w:id="0" w:name="_GoBack"/>
      <w:bookmarkEnd w:id="0"/>
    </w:p>
    <w:sectPr w:rsidR="003E2108" w:rsidRPr="006E418E" w:rsidSect="006E41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35C" w:rsidRDefault="00E5535C" w:rsidP="006B1FEC">
      <w:pPr>
        <w:spacing w:after="0" w:line="240" w:lineRule="auto"/>
      </w:pPr>
      <w:r>
        <w:separator/>
      </w:r>
    </w:p>
  </w:endnote>
  <w:endnote w:type="continuationSeparator" w:id="0">
    <w:p w:rsidR="00E5535C" w:rsidRDefault="00E5535C" w:rsidP="006B1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35C" w:rsidRDefault="00E5535C" w:rsidP="006B1FEC">
      <w:pPr>
        <w:spacing w:after="0" w:line="240" w:lineRule="auto"/>
      </w:pPr>
      <w:r>
        <w:separator/>
      </w:r>
    </w:p>
  </w:footnote>
  <w:footnote w:type="continuationSeparator" w:id="0">
    <w:p w:rsidR="00E5535C" w:rsidRDefault="00E5535C" w:rsidP="006B1FEC">
      <w:pPr>
        <w:spacing w:after="0" w:line="240" w:lineRule="auto"/>
      </w:pPr>
      <w:r>
        <w:continuationSeparator/>
      </w:r>
    </w:p>
  </w:footnote>
  <w:footnote w:id="1">
    <w:p w:rsidR="006B1FEC" w:rsidRPr="00746341" w:rsidRDefault="006B1FEC" w:rsidP="006B1FEC">
      <w:pPr>
        <w:jc w:val="both"/>
      </w:pPr>
      <w:r w:rsidRPr="005F736E">
        <w:rPr>
          <w:rStyle w:val="Refdenotaalpie"/>
        </w:rPr>
        <w:footnoteRef/>
      </w:r>
      <w:r w:rsidRPr="005F736E">
        <w:t xml:space="preserve"> </w:t>
      </w:r>
      <w:r w:rsidRPr="005F736E">
        <w:rPr>
          <w:sz w:val="20"/>
          <w:szCs w:val="20"/>
        </w:rPr>
        <w:t xml:space="preserve">Fuente: </w:t>
      </w:r>
      <w:hyperlink r:id="rId1" w:history="1">
        <w:r w:rsidRPr="00746341">
          <w:rPr>
            <w:rStyle w:val="Hipervnculo"/>
            <w:sz w:val="20"/>
            <w:szCs w:val="20"/>
          </w:rPr>
          <w:t>http://www.gob.gba.gov.ar/legislacion/legislacion/l-12256.html</w:t>
        </w:r>
      </w:hyperlink>
    </w:p>
    <w:p w:rsidR="006B1FEC" w:rsidRDefault="006B1FEC" w:rsidP="006B1FEC">
      <w:pPr>
        <w:jc w:val="both"/>
      </w:pPr>
    </w:p>
  </w:footnote>
  <w:footnote w:id="2">
    <w:p w:rsidR="006B1FEC" w:rsidRPr="00913DA3" w:rsidRDefault="006B1FEC" w:rsidP="006B1FEC">
      <w:pPr>
        <w:pStyle w:val="Textonotapie"/>
        <w:rPr>
          <w:rFonts w:ascii="Times New Roman" w:hAnsi="Times New Roman"/>
        </w:rPr>
      </w:pPr>
      <w:r w:rsidRPr="00913DA3">
        <w:rPr>
          <w:rStyle w:val="Refdenotaalpie"/>
          <w:rFonts w:ascii="Times New Roman" w:hAnsi="Times New Roman"/>
        </w:rPr>
        <w:footnoteRef/>
      </w:r>
      <w:r w:rsidRPr="00913DA3">
        <w:rPr>
          <w:rFonts w:ascii="Times New Roman" w:hAnsi="Times New Roman"/>
        </w:rPr>
        <w:t xml:space="preserve"> </w:t>
      </w:r>
      <w:r w:rsidRPr="00913DA3">
        <w:rPr>
          <w:rFonts w:ascii="Times New Roman" w:hAnsi="Times New Roman"/>
          <w:sz w:val="18"/>
          <w:szCs w:val="18"/>
          <w:lang w:val="es-ES_tradnl"/>
        </w:rPr>
        <w:t xml:space="preserve"> Según Murillo, el término "secuestración", es tomado de los documentos de la época. Nota aclaratoria: todos los términos que figuran entrecomillados, han sido tomados textualmente de documentos del período.</w:t>
      </w:r>
    </w:p>
  </w:footnote>
  <w:footnote w:id="3">
    <w:p w:rsidR="006B1FEC" w:rsidRPr="00913DA3" w:rsidRDefault="006B1FEC" w:rsidP="006B1FEC">
      <w:pPr>
        <w:pStyle w:val="Textonotapie"/>
        <w:rPr>
          <w:rFonts w:ascii="Times New Roman" w:hAnsi="Times New Roman"/>
        </w:rPr>
      </w:pPr>
      <w:r w:rsidRPr="00913DA3">
        <w:rPr>
          <w:rStyle w:val="Refdenotaalpie"/>
          <w:rFonts w:ascii="Times New Roman" w:hAnsi="Times New Roman"/>
        </w:rPr>
        <w:footnoteRef/>
      </w:r>
      <w:r w:rsidRPr="00913DA3">
        <w:rPr>
          <w:rFonts w:ascii="Times New Roman" w:hAnsi="Times New Roman"/>
        </w:rPr>
        <w:t xml:space="preserve"> </w:t>
      </w:r>
      <w:r w:rsidRPr="00913DA3">
        <w:rPr>
          <w:rFonts w:ascii="Times New Roman" w:hAnsi="Times New Roman"/>
          <w:sz w:val="18"/>
          <w:szCs w:val="18"/>
          <w:lang w:val="es-ES_tradnl"/>
        </w:rPr>
        <w:t xml:space="preserve">Términos extraídos del texto de   De Veyga, Francisco, "La persona humana ante el criterio legal. Los signos de la humanidad y el origen (acentuado en el original, S.M.) de los monstruos". En </w:t>
      </w:r>
      <w:r w:rsidRPr="00913DA3">
        <w:rPr>
          <w:rFonts w:ascii="Times New Roman" w:hAnsi="Times New Roman"/>
          <w:i/>
          <w:iCs/>
          <w:sz w:val="18"/>
          <w:szCs w:val="18"/>
          <w:lang w:val="es-ES_tradnl"/>
        </w:rPr>
        <w:t>A. P. y C</w:t>
      </w:r>
      <w:r w:rsidRPr="00913DA3">
        <w:rPr>
          <w:rFonts w:ascii="Times New Roman" w:hAnsi="Times New Roman"/>
          <w:sz w:val="18"/>
          <w:szCs w:val="18"/>
          <w:lang w:val="es-ES_tradnl"/>
        </w:rPr>
        <w:t>. , Año IV, 1905, pp. 460, según cita de Murillo. (Murillo; 2002: 190)</w:t>
      </w:r>
    </w:p>
  </w:footnote>
  <w:footnote w:id="4">
    <w:p w:rsidR="006B1FEC" w:rsidRDefault="006B1FEC" w:rsidP="006B1FEC">
      <w:pPr>
        <w:pStyle w:val="Textonotapie"/>
      </w:pPr>
      <w:r w:rsidRPr="00913DA3">
        <w:rPr>
          <w:rStyle w:val="Refdenotaalpie"/>
          <w:rFonts w:ascii="Times New Roman" w:hAnsi="Times New Roman"/>
        </w:rPr>
        <w:footnoteRef/>
      </w:r>
      <w:r w:rsidRPr="00913DA3">
        <w:rPr>
          <w:rFonts w:ascii="Times New Roman" w:hAnsi="Times New Roman"/>
        </w:rPr>
        <w:t xml:space="preserve"> </w:t>
      </w:r>
      <w:r w:rsidRPr="00913DA3">
        <w:rPr>
          <w:rFonts w:ascii="Times New Roman" w:hAnsi="Times New Roman"/>
          <w:sz w:val="18"/>
          <w:szCs w:val="18"/>
          <w:lang w:val="es-ES_tradnl"/>
        </w:rPr>
        <w:t>Términos extraídos d</w:t>
      </w:r>
      <w:r>
        <w:rPr>
          <w:rFonts w:ascii="Times New Roman" w:hAnsi="Times New Roman"/>
          <w:sz w:val="18"/>
          <w:szCs w:val="18"/>
          <w:lang w:val="es-ES_tradnl"/>
        </w:rPr>
        <w:t xml:space="preserve">el texto de   Víctor Mercante, </w:t>
      </w:r>
      <w:r w:rsidRPr="00913DA3">
        <w:rPr>
          <w:rFonts w:ascii="Times New Roman" w:hAnsi="Times New Roman"/>
          <w:sz w:val="18"/>
          <w:szCs w:val="18"/>
          <w:lang w:val="es-ES_tradnl"/>
        </w:rPr>
        <w:t>"Estudios sobre la criminalidad infantil" en</w:t>
      </w:r>
      <w:r w:rsidRPr="00913DA3">
        <w:rPr>
          <w:rFonts w:ascii="Times New Roman" w:hAnsi="Times New Roman"/>
          <w:i/>
          <w:iCs/>
          <w:sz w:val="18"/>
          <w:szCs w:val="18"/>
          <w:lang w:val="es-ES_tradnl"/>
        </w:rPr>
        <w:t xml:space="preserve"> A. P. Y C</w:t>
      </w:r>
      <w:r w:rsidRPr="00913DA3">
        <w:rPr>
          <w:rFonts w:ascii="Times New Roman" w:hAnsi="Times New Roman"/>
          <w:sz w:val="18"/>
          <w:szCs w:val="18"/>
          <w:lang w:val="es-ES_tradnl"/>
        </w:rPr>
        <w:t>.</w:t>
      </w:r>
      <w:r w:rsidRPr="00913DA3">
        <w:rPr>
          <w:rFonts w:ascii="Times New Roman" w:hAnsi="Times New Roman"/>
          <w:i/>
          <w:iCs/>
          <w:sz w:val="18"/>
          <w:szCs w:val="18"/>
          <w:lang w:val="es-ES_tradnl"/>
        </w:rPr>
        <w:t>,</w:t>
      </w:r>
      <w:r w:rsidRPr="00913DA3">
        <w:rPr>
          <w:rFonts w:ascii="Times New Roman" w:hAnsi="Times New Roman"/>
          <w:sz w:val="18"/>
          <w:szCs w:val="18"/>
          <w:lang w:val="es-ES_tradnl"/>
        </w:rPr>
        <w:t xml:space="preserve"> Año IV, Buenos Aires, 1905, pp. 568. (Murillo; 2002: 190)</w:t>
      </w:r>
    </w:p>
  </w:footnote>
  <w:footnote w:id="5">
    <w:p w:rsidR="006B1FEC" w:rsidRPr="00106FB6" w:rsidRDefault="006B1FEC" w:rsidP="006B1FEC">
      <w:pPr>
        <w:pStyle w:val="Textonotapie"/>
        <w:rPr>
          <w:rFonts w:ascii="Times New Roman" w:hAnsi="Times New Roman"/>
        </w:rPr>
      </w:pPr>
      <w:r w:rsidRPr="00106FB6">
        <w:rPr>
          <w:rStyle w:val="Refdenotaalpie"/>
          <w:rFonts w:ascii="Times New Roman" w:hAnsi="Times New Roman"/>
        </w:rPr>
        <w:footnoteRef/>
      </w:r>
      <w:r w:rsidRPr="00106FB6">
        <w:rPr>
          <w:rFonts w:ascii="Times New Roman" w:hAnsi="Times New Roman"/>
        </w:rPr>
        <w:t xml:space="preserve"> </w:t>
      </w:r>
      <w:r w:rsidRPr="00106FB6">
        <w:rPr>
          <w:rFonts w:ascii="Times New Roman" w:hAnsi="Times New Roman"/>
          <w:sz w:val="18"/>
          <w:szCs w:val="18"/>
          <w:lang w:val="es-ES_tradnl"/>
        </w:rPr>
        <w:t>Ibid, pp. 569. (Murillo; 2002: 190)</w:t>
      </w:r>
    </w:p>
  </w:footnote>
  <w:footnote w:id="6">
    <w:p w:rsidR="006B1FEC" w:rsidRPr="00106FB6" w:rsidRDefault="006B1FEC" w:rsidP="006B1FEC">
      <w:pPr>
        <w:pStyle w:val="Textonotapie"/>
        <w:rPr>
          <w:rFonts w:ascii="Times New Roman" w:hAnsi="Times New Roman"/>
        </w:rPr>
      </w:pPr>
      <w:r w:rsidRPr="00106FB6">
        <w:rPr>
          <w:rStyle w:val="Refdenotaalpie"/>
          <w:rFonts w:ascii="Times New Roman" w:hAnsi="Times New Roman"/>
        </w:rPr>
        <w:footnoteRef/>
      </w:r>
      <w:r w:rsidRPr="00106FB6">
        <w:rPr>
          <w:rFonts w:ascii="Times New Roman" w:hAnsi="Times New Roman"/>
        </w:rPr>
        <w:t xml:space="preserve"> </w:t>
      </w:r>
      <w:r w:rsidRPr="00106FB6">
        <w:rPr>
          <w:rFonts w:ascii="Times New Roman" w:hAnsi="Times New Roman"/>
          <w:sz w:val="18"/>
          <w:szCs w:val="18"/>
          <w:lang w:val="es-ES_tradnl"/>
        </w:rPr>
        <w:t xml:space="preserve">El entrecomillado es extraído de Rossi, José Gregorio,"La criminalidad profesional en Buenos Aires", en </w:t>
      </w:r>
      <w:r w:rsidRPr="00106FB6">
        <w:rPr>
          <w:rFonts w:ascii="Times New Roman" w:hAnsi="Times New Roman"/>
          <w:i/>
          <w:iCs/>
          <w:sz w:val="18"/>
          <w:szCs w:val="18"/>
          <w:lang w:val="es-ES_tradnl"/>
        </w:rPr>
        <w:t>A. P.  Y C</w:t>
      </w:r>
      <w:r w:rsidRPr="00106FB6">
        <w:rPr>
          <w:rFonts w:ascii="Times New Roman" w:hAnsi="Times New Roman"/>
          <w:sz w:val="18"/>
          <w:szCs w:val="18"/>
          <w:lang w:val="es-ES_tradnl"/>
        </w:rPr>
        <w:t>. , Año II, 1903, pp 170. (Murillo; 2002: 191)</w:t>
      </w:r>
    </w:p>
  </w:footnote>
  <w:footnote w:id="7">
    <w:p w:rsidR="006B1FEC" w:rsidRPr="00106FB6" w:rsidRDefault="006B1FEC" w:rsidP="006B1FEC">
      <w:pPr>
        <w:pStyle w:val="Textonotapie"/>
        <w:rPr>
          <w:rFonts w:ascii="Times New Roman" w:hAnsi="Times New Roman"/>
        </w:rPr>
      </w:pPr>
      <w:r w:rsidRPr="00106FB6">
        <w:rPr>
          <w:rStyle w:val="Refdenotaalpie"/>
          <w:rFonts w:ascii="Times New Roman" w:hAnsi="Times New Roman"/>
          <w:sz w:val="18"/>
          <w:szCs w:val="18"/>
        </w:rPr>
        <w:footnoteRef/>
      </w:r>
      <w:r w:rsidRPr="00106FB6">
        <w:rPr>
          <w:rFonts w:ascii="Times New Roman" w:hAnsi="Times New Roman"/>
          <w:sz w:val="18"/>
          <w:szCs w:val="18"/>
        </w:rPr>
        <w:t xml:space="preserve"> </w:t>
      </w:r>
      <w:r w:rsidRPr="00106FB6">
        <w:rPr>
          <w:rFonts w:ascii="Times New Roman" w:hAnsi="Times New Roman"/>
          <w:sz w:val="18"/>
          <w:szCs w:val="18"/>
          <w:lang w:val="es-ES"/>
        </w:rPr>
        <w:t>Moyano Gacitúa, Cornelio, “El delito ante la sociología”, en A.P y C. Tomo IV, año 1905, pp 429. (Murillo; 2002: 191)</w:t>
      </w:r>
    </w:p>
  </w:footnote>
  <w:footnote w:id="8">
    <w:p w:rsidR="006B1FEC" w:rsidRPr="004F2940" w:rsidRDefault="006B1FEC" w:rsidP="006B1FEC">
      <w:pPr>
        <w:pStyle w:val="Textonotapie"/>
        <w:rPr>
          <w:rFonts w:ascii="Times New Roman" w:hAnsi="Times New Roman"/>
          <w:sz w:val="18"/>
          <w:szCs w:val="18"/>
        </w:rPr>
      </w:pPr>
      <w:r w:rsidRPr="004F2940">
        <w:rPr>
          <w:rStyle w:val="Refdenotaalpie"/>
          <w:rFonts w:ascii="Times New Roman" w:hAnsi="Times New Roman"/>
          <w:sz w:val="18"/>
          <w:szCs w:val="18"/>
        </w:rPr>
        <w:footnoteRef/>
      </w:r>
      <w:r w:rsidRPr="004F2940">
        <w:rPr>
          <w:rFonts w:ascii="Times New Roman" w:hAnsi="Times New Roman"/>
          <w:sz w:val="18"/>
          <w:szCs w:val="18"/>
        </w:rPr>
        <w:t xml:space="preserve"> </w:t>
      </w:r>
      <w:r w:rsidRPr="004F2940">
        <w:rPr>
          <w:rFonts w:ascii="Times New Roman" w:hAnsi="Times New Roman"/>
          <w:sz w:val="18"/>
          <w:szCs w:val="18"/>
          <w:lang w:val="es-ES_tradnl"/>
        </w:rPr>
        <w:t xml:space="preserve">Ibid, pp. 433. </w:t>
      </w:r>
      <w:r w:rsidRPr="004F2940">
        <w:rPr>
          <w:rFonts w:ascii="Times New Roman" w:hAnsi="Times New Roman"/>
          <w:sz w:val="18"/>
          <w:szCs w:val="18"/>
        </w:rPr>
        <w:t>(Murillo; 2002: 191)</w:t>
      </w:r>
      <w:r w:rsidRPr="004F2940">
        <w:rPr>
          <w:rFonts w:ascii="Times New Roman" w:hAnsi="Times New Roman"/>
          <w:sz w:val="18"/>
          <w:szCs w:val="18"/>
          <w:lang w:val="es-ES_tradnl"/>
        </w:rPr>
        <w:t> </w:t>
      </w:r>
    </w:p>
  </w:footnote>
  <w:footnote w:id="9">
    <w:p w:rsidR="006B1FEC" w:rsidRPr="004F2940" w:rsidRDefault="006B1FEC" w:rsidP="006B1FEC">
      <w:pPr>
        <w:pStyle w:val="Textonotapie"/>
        <w:rPr>
          <w:rFonts w:ascii="Times New Roman" w:hAnsi="Times New Roman"/>
          <w:sz w:val="18"/>
          <w:szCs w:val="18"/>
        </w:rPr>
      </w:pPr>
      <w:r w:rsidRPr="004F2940">
        <w:rPr>
          <w:rStyle w:val="Refdenotaalpie"/>
          <w:rFonts w:ascii="Times New Roman" w:hAnsi="Times New Roman"/>
          <w:sz w:val="18"/>
          <w:szCs w:val="18"/>
        </w:rPr>
        <w:footnoteRef/>
      </w:r>
      <w:r w:rsidRPr="004F2940">
        <w:rPr>
          <w:rFonts w:ascii="Times New Roman" w:hAnsi="Times New Roman"/>
          <w:sz w:val="18"/>
          <w:szCs w:val="18"/>
        </w:rPr>
        <w:t xml:space="preserve"> </w:t>
      </w:r>
      <w:r w:rsidRPr="004F2940">
        <w:rPr>
          <w:rFonts w:ascii="Times New Roman" w:hAnsi="Times New Roman"/>
          <w:sz w:val="18"/>
          <w:szCs w:val="18"/>
          <w:lang w:val="es-ES_tradnl"/>
        </w:rPr>
        <w:t xml:space="preserve">Ibid, pp. 439. </w:t>
      </w:r>
      <w:r w:rsidRPr="004F2940">
        <w:rPr>
          <w:rFonts w:ascii="Times New Roman" w:hAnsi="Times New Roman"/>
          <w:sz w:val="18"/>
          <w:szCs w:val="18"/>
        </w:rPr>
        <w:t>(Murillo; 2002: 191)</w:t>
      </w:r>
      <w:r w:rsidRPr="004F2940">
        <w:rPr>
          <w:rFonts w:ascii="Times New Roman" w:hAnsi="Times New Roman"/>
          <w:sz w:val="18"/>
          <w:szCs w:val="18"/>
          <w:lang w:val="es-ES_tradnl"/>
        </w:rPr>
        <w:t> </w:t>
      </w:r>
    </w:p>
  </w:footnote>
  <w:footnote w:id="10">
    <w:p w:rsidR="006B1FEC" w:rsidRPr="004F2940" w:rsidRDefault="006B1FEC" w:rsidP="006B1FEC">
      <w:pPr>
        <w:pStyle w:val="Textonotapie"/>
        <w:rPr>
          <w:rFonts w:ascii="Times New Roman" w:hAnsi="Times New Roman"/>
          <w:sz w:val="18"/>
          <w:szCs w:val="18"/>
        </w:rPr>
      </w:pPr>
      <w:r w:rsidRPr="004F2940">
        <w:rPr>
          <w:rStyle w:val="Refdenotaalpie"/>
          <w:rFonts w:ascii="Times New Roman" w:hAnsi="Times New Roman"/>
          <w:sz w:val="18"/>
          <w:szCs w:val="18"/>
        </w:rPr>
        <w:footnoteRef/>
      </w:r>
      <w:r w:rsidRPr="004F2940">
        <w:rPr>
          <w:rFonts w:ascii="Times New Roman" w:hAnsi="Times New Roman"/>
          <w:sz w:val="18"/>
          <w:szCs w:val="18"/>
        </w:rPr>
        <w:t xml:space="preserve"> </w:t>
      </w:r>
      <w:r w:rsidRPr="004F2940">
        <w:rPr>
          <w:rFonts w:ascii="Times New Roman" w:hAnsi="Times New Roman"/>
          <w:sz w:val="18"/>
          <w:szCs w:val="18"/>
          <w:lang w:val="es-ES_tradnl"/>
        </w:rPr>
        <w:t xml:space="preserve">Rossi, José Gregorio, "La criminalidad profesional en Buenos Aires", en </w:t>
      </w:r>
      <w:r w:rsidRPr="004F2940">
        <w:rPr>
          <w:rFonts w:ascii="Times New Roman" w:hAnsi="Times New Roman"/>
          <w:i/>
          <w:iCs/>
          <w:sz w:val="18"/>
          <w:szCs w:val="18"/>
          <w:lang w:val="es-ES_tradnl"/>
        </w:rPr>
        <w:t>A. P.  y C</w:t>
      </w:r>
      <w:r w:rsidRPr="004F2940">
        <w:rPr>
          <w:rFonts w:ascii="Times New Roman" w:hAnsi="Times New Roman"/>
          <w:sz w:val="18"/>
          <w:szCs w:val="18"/>
          <w:lang w:val="es-ES_tradnl"/>
        </w:rPr>
        <w:t>. , Año II, 1903, pp. 170.  (Murillo</w:t>
      </w:r>
      <w:r w:rsidRPr="004F2940">
        <w:rPr>
          <w:rFonts w:ascii="Times New Roman" w:hAnsi="Times New Roman"/>
          <w:sz w:val="18"/>
          <w:szCs w:val="18"/>
        </w:rPr>
        <w:t>; 2002:195)</w:t>
      </w:r>
      <w:r w:rsidRPr="004F2940">
        <w:rPr>
          <w:rFonts w:ascii="Times New Roman" w:hAnsi="Times New Roman"/>
          <w:sz w:val="18"/>
          <w:szCs w:val="18"/>
          <w:lang w:val="es-ES_tradnl"/>
        </w:rPr>
        <w:t> </w:t>
      </w:r>
    </w:p>
  </w:footnote>
  <w:footnote w:id="11">
    <w:p w:rsidR="006B1FEC" w:rsidRPr="004F2940" w:rsidRDefault="006B1FEC" w:rsidP="006B1FEC">
      <w:pPr>
        <w:pStyle w:val="Textonotapie"/>
        <w:rPr>
          <w:rFonts w:ascii="Times New Roman" w:hAnsi="Times New Roman"/>
          <w:sz w:val="18"/>
          <w:szCs w:val="18"/>
        </w:rPr>
      </w:pPr>
      <w:r w:rsidRPr="004F2940">
        <w:rPr>
          <w:rStyle w:val="Refdenotaalpie"/>
          <w:rFonts w:ascii="Times New Roman" w:hAnsi="Times New Roman"/>
          <w:sz w:val="18"/>
          <w:szCs w:val="18"/>
        </w:rPr>
        <w:footnoteRef/>
      </w:r>
      <w:r w:rsidRPr="004F2940">
        <w:rPr>
          <w:rFonts w:ascii="Times New Roman" w:hAnsi="Times New Roman"/>
          <w:sz w:val="18"/>
          <w:szCs w:val="18"/>
        </w:rPr>
        <w:t xml:space="preserve"> Ibid. (Murillo</w:t>
      </w:r>
      <w:r w:rsidRPr="006B1FEC">
        <w:rPr>
          <w:rFonts w:ascii="Times New Roman" w:hAnsi="Times New Roman"/>
          <w:iCs/>
          <w:spacing w:val="-2"/>
          <w:sz w:val="18"/>
          <w:szCs w:val="18"/>
          <w:lang w:val="es-ES_tradnl"/>
          <w14:shadow w14:blurRad="50800" w14:dist="38100" w14:dir="2700000" w14:sx="100000" w14:sy="100000" w14:kx="0" w14:ky="0" w14:algn="tl">
            <w14:srgbClr w14:val="000000">
              <w14:alpha w14:val="60000"/>
            </w14:srgbClr>
          </w14:shadow>
        </w:rPr>
        <w:t xml:space="preserve">, </w:t>
      </w:r>
      <w:r w:rsidRPr="00BB7E3C">
        <w:rPr>
          <w:rFonts w:ascii="Times New Roman" w:hAnsi="Times New Roman"/>
          <w:iCs/>
          <w:spacing w:val="-2"/>
          <w:sz w:val="18"/>
          <w:szCs w:val="18"/>
          <w:lang w:val="es-ES_tradnl"/>
        </w:rPr>
        <w:t>Susana</w:t>
      </w:r>
      <w:r w:rsidRPr="004F2940">
        <w:rPr>
          <w:rFonts w:ascii="Times New Roman" w:hAnsi="Times New Roman"/>
          <w:sz w:val="18"/>
          <w:szCs w:val="18"/>
        </w:rPr>
        <w:t>; 2002:195)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14FF0"/>
    <w:multiLevelType w:val="hybridMultilevel"/>
    <w:tmpl w:val="FD58CD7C"/>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15:restartNumberingAfterBreak="0">
    <w:nsid w:val="5B436DD0"/>
    <w:multiLevelType w:val="hybridMultilevel"/>
    <w:tmpl w:val="1E7034BA"/>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FEC"/>
    <w:rsid w:val="000A0169"/>
    <w:rsid w:val="00252662"/>
    <w:rsid w:val="00310721"/>
    <w:rsid w:val="003E2108"/>
    <w:rsid w:val="00485E4E"/>
    <w:rsid w:val="006B1FEC"/>
    <w:rsid w:val="006E418E"/>
    <w:rsid w:val="00B524D8"/>
    <w:rsid w:val="00E5535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CF00841C-BCB4-4290-AB66-F5E0B6DC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6B1F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B1FEC"/>
    <w:rPr>
      <w:sz w:val="20"/>
      <w:szCs w:val="20"/>
    </w:rPr>
  </w:style>
  <w:style w:type="character" w:styleId="Refdenotaalpie">
    <w:name w:val="footnote reference"/>
    <w:semiHidden/>
    <w:rsid w:val="006B1FEC"/>
    <w:rPr>
      <w:vertAlign w:val="superscript"/>
    </w:rPr>
  </w:style>
  <w:style w:type="character" w:styleId="Hipervnculo">
    <w:name w:val="Hyperlink"/>
    <w:rsid w:val="006B1FEC"/>
    <w:rPr>
      <w:rFonts w:cs="Times New Roman"/>
      <w:color w:val="0000FF"/>
      <w:u w:val="single"/>
    </w:rPr>
  </w:style>
  <w:style w:type="character" w:customStyle="1" w:styleId="TtuloCar">
    <w:name w:val="Título Car"/>
    <w:link w:val="Ttulo"/>
    <w:locked/>
    <w:rsid w:val="003E2108"/>
    <w:rPr>
      <w:rFonts w:ascii="Calibri" w:eastAsia="Calibri" w:hAnsi="Calibri"/>
      <w:b/>
      <w:lang w:val="es-ES"/>
    </w:rPr>
  </w:style>
  <w:style w:type="paragraph" w:styleId="Ttulo">
    <w:name w:val="Title"/>
    <w:basedOn w:val="Normal"/>
    <w:link w:val="TtuloCar"/>
    <w:qFormat/>
    <w:rsid w:val="003E2108"/>
    <w:pPr>
      <w:spacing w:after="0" w:line="240" w:lineRule="auto"/>
      <w:jc w:val="center"/>
    </w:pPr>
    <w:rPr>
      <w:rFonts w:ascii="Calibri" w:eastAsia="Calibri" w:hAnsi="Calibri"/>
      <w:b/>
      <w:lang w:val="es-ES"/>
    </w:rPr>
  </w:style>
  <w:style w:type="character" w:customStyle="1" w:styleId="TtuloCar1">
    <w:name w:val="Título Car1"/>
    <w:basedOn w:val="Fuentedeprrafopredeter"/>
    <w:uiPriority w:val="10"/>
    <w:rsid w:val="003E2108"/>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6E418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E41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gob.gba.gov.ar/legislacion/legislacion/l-12256.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7575</Words>
  <Characters>41666</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Familia Vázquez Ducha</dc:creator>
  <cp:keywords/>
  <dc:description/>
  <cp:lastModifiedBy>Dto-Coordinacion</cp:lastModifiedBy>
  <cp:revision>6</cp:revision>
  <cp:lastPrinted>2017-08-09T20:38:00Z</cp:lastPrinted>
  <dcterms:created xsi:type="dcterms:W3CDTF">2017-04-19T22:59:00Z</dcterms:created>
  <dcterms:modified xsi:type="dcterms:W3CDTF">2017-08-09T20:38:00Z</dcterms:modified>
</cp:coreProperties>
</file>